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управляющий должника</w:t>
      </w:r>
      <w:r>
        <w:rPr>
          <w:rFonts w:ascii="Times New Roman" w:hAnsi="Times New Roman"/>
          <w:b w:val="0"/>
          <w:i w:val="0"/>
          <w:sz w:val="24"/>
        </w:rPr>
        <w:b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25 000 руб. — за требование о признании сделки недействительной (подп. 2 п. 1 ст. 333.21 НК РФ: 50 000 руб. для организаций, с учётом подп. 9 п. 1 той же статьи — 50 %) [+ 15 000 руб. за ходатайство об обеспечительных мерах: подп. 17 п. 1 ст. 333.21 НК РФ с учётом подп. 9 п. 1]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соглашений (приказов) об увеличении заработной платы и о выплате премий и совершённых на их основании выплат, применении последствий недействительности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61.9 Федерального закона от 26.10.2002 № 127-ФЗ «О несостоятельности (банкротстве)» (далее — Закон о банкротстве) установлено: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 Обстоятельства совершения сделок</w:t>
      </w:r>
    </w:p>
    <w:p>
      <w:pPr>
        <w:spacing w:after="120" w:line="276" w:lineRule="auto"/>
        <w:ind w:firstLine="709"/>
        <w:jc w:val="both"/>
      </w:pPr>
      <w:r>
        <w:rPr>
          <w:rFonts w:ascii="Times New Roman" w:hAnsi="Times New Roman"/>
          <w:b w:val="0"/>
          <w:i w:val="0"/>
          <w:sz w:val="24"/>
        </w:rPr>
        <w:t>[Ф. И. О. ответчика] занимал(а) у Должника должность [генерального директора / заместителя директора / главного бухгалтера] [и является [участником Должника / супругой участника]]. Трудовым договором от «[дата]» ответчику установлен оклад [сумма] руб. Дополнительным соглашением от «[дата]» оклад увеличен до [сумма] руб. (в [__] раз); приказами от «[дата]» № [__], от «[дата]» № [__] ответчику начислены премии на общую сумму [сумма] руб. «за достижение показателей» [без указания показателей]. В период с «[дата]» по «[дата]» ответчику выплачено [сумма] руб. сверх прежнего оклада (расчётные листки, платёжные ведомости, выписка — приложения). Повышение оклада и премии [подписаны самим ответчиком как руководителем / утверждены руководителем — супругом ответчика].</w:t>
      </w:r>
    </w:p>
    <w:p>
      <w:pPr>
        <w:spacing w:after="120" w:line="276" w:lineRule="auto"/>
        <w:ind w:firstLine="709"/>
        <w:jc w:val="both"/>
      </w:pPr>
      <w:r>
        <w:rPr>
          <w:rFonts w:ascii="Times New Roman" w:hAnsi="Times New Roman"/>
          <w:b w:val="0"/>
          <w:i w:val="0"/>
          <w:sz w:val="24"/>
        </w:rPr>
        <w:t>Повышение и премии совершены в период, когда выручка Должника упала на [__] %, образовалась просроченная задолженность перед [кредиторы] на [сумма] руб., [велась картотека по счёту, другим работникам зарплата задерживалась на [__] месяцев]. Объём и характер трудовых обязанностей ответчика не изменились (должностная инструкция, штатное расписание — приложения). Средняя заработная плата по аналогичной должности в регионе — [сумма] руб. (данные Росстата / сервисов вакансий).</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 выплаты последнего года — также пунктом 1 той же статьи.</w:t>
      </w:r>
    </w:p>
    <w:p>
      <w:pPr>
        <w:spacing w:after="120" w:line="276" w:lineRule="auto"/>
        <w:jc w:val="center"/>
      </w:pPr>
      <w:r>
        <w:rPr>
          <w:rFonts w:ascii="Times New Roman" w:hAnsi="Times New Roman"/>
          <w:b/>
          <w:i w:val="0"/>
          <w:sz w:val="24"/>
        </w:rPr>
        <w:t>II. Неисполненные обязательства Должника на дату сделок</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 [сумма] руб. (решение Арбитражного суда [__] от «[дата]» по делу № [__], требование включено в реестр); перед [кредитор 2] — [сумма] руб.; перед уполномоченным органом — [сумма] руб. (требование от «[дата]» № [__]). По данным бухгалтерского баланса на [отчётная дата] обязательства Должника ([сумма] руб.) превышали стоимость активов ([сумма] руб.); картотека неисполненных платёжных документов по счёту ведётся с «[дата]». Следовательно, Должник отвечал признакам неплатёжеспособности и недостаточности имущества (статья 2 Закона о банкротстве).</w:t>
      </w:r>
    </w:p>
    <w:p>
      <w:pPr>
        <w:spacing w:after="120" w:line="276" w:lineRule="auto"/>
        <w:jc w:val="center"/>
      </w:pPr>
      <w:r>
        <w:rPr>
          <w:rFonts w:ascii="Times New Roman" w:hAnsi="Times New Roman"/>
          <w:b/>
          <w:i w:val="0"/>
          <w:sz w:val="24"/>
        </w:rPr>
        <w:t>III. Вред кредиторам и отсутствие встречного предоставления</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Статьёй 129 Трудового кодекса Российской Федерации (далее — ТК РФ) установлено: «Заработная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Статьёй 191 ТК РФ предусмотрено: «Работодатель поощряет работников, добросовестно исполняющих трудовые обязанности (объявляет благодарность, выдает премию, награждает ценным подарком, почетной грамотой, представляет к званию лучшего по профессии).» Премия — поощрение за добросовестный труд, а повышение оклада предполагает изменение квалификации, сложности или объёма работы. Ничего из этого не произошло: показатели деятельности Должника ухудшались, обязанности ответчика не расширялись. Следовательно, в части превышения над прежним окладом выплаты лишены встречного предоставления и представляют собой вывод денежных средств под прикрытием трудовых отношений. Вред кредиторам — уменьшение конкурсной массы на [сумма] руб. в условиях неплатёжеспособности.</w:t>
      </w:r>
    </w:p>
    <w:p>
      <w:pPr>
        <w:spacing w:after="120" w:line="276" w:lineRule="auto"/>
        <w:jc w:val="center"/>
      </w:pPr>
      <w:r>
        <w:rPr>
          <w:rFonts w:ascii="Times New Roman" w:hAnsi="Times New Roman"/>
          <w:b/>
          <w:i w:val="0"/>
          <w:sz w:val="24"/>
        </w:rPr>
        <w:t>IV. Заинтересованность ответчика</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Пунктами 1 и 2 статьи 19 Закона о банкротстве установлено: «В целях настоящего Федерального закона заинтересованными лицами по отношению к должнику признаются: лицо, которое в соответствии с Федеральным законом от 26 июля 2006 года N 135-ФЗ "О защите конкуренции" входит в одну группу лиц с должником; лицо, которое является аффилированным лицом должника. 2. Заинтересованными лицами по отношению к должнику - юридическому лицу признаются также: 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указанного периода возможность определять действия должника; лица, находящиеся с физическими лицами, указанными в абзаце втором настоящего пункта, в отношениях, определенных пунктом 3 настоящей статьи». Ответчик [входит в одну группу лиц с Должником / является участником (руководителем) Должника / контролируется тем же лицом — [Ф. И. О.] / является супругом (родственником) руководителя Должника], что подтверждается выписками из ЕГРЮЛ, [списком участников, сведениями ЗАГС]. Осведомлённость заинтересованного лица о цели причинения вреда кредиторам презюмируется (абзац первый пункта 2 статьи 61.2 Закона о банкротстве, пункт 7 Постановления № 63).</w:t>
      </w:r>
    </w:p>
    <w:p>
      <w:pPr>
        <w:spacing w:after="120" w:line="276" w:lineRule="auto"/>
        <w:ind w:firstLine="709"/>
        <w:jc w:val="both"/>
      </w:pPr>
      <w:r>
        <w:rPr>
          <w:rFonts w:ascii="Times New Roman" w:hAnsi="Times New Roman"/>
          <w:b w:val="0"/>
          <w:i w:val="0"/>
          <w:sz w:val="24"/>
        </w:rPr>
        <w:t>Ответчик как [руководитель / лицо, входящее в органы управления / супруга участника] является заинтересованным лицом (пункт 2 статьи 19 Закона о банкротстве) и располагал полной информацией о финансовом состоянии Должника.</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Трудовые выплаты оспариваются по главе III.1.</w:t>
      </w:r>
      <w:r>
        <w:rPr>
          <w:rFonts w:ascii="Times New Roman" w:hAnsi="Times New Roman"/>
          <w:b w:val="0"/>
          <w:i w:val="0"/>
          <w:sz w:val="24"/>
        </w:rPr>
        <w:t xml:space="preserve"> Пунктом 3 статьи 61.1 Закона о банкротстве установлено: «Правила настоящей главы могут применяться к оспариванию действий, направленных на исполнение обязательств и обязанностей, возникающих в соответствии с гражданским, трудовым, семейным законодательством, законодательством о налогах и сборах, таможенным законодательством Таможенного союза и (или) законодательством Российской Федерации о таможенном деле, процессуальным законодательством Российской Федерации и другими отраслями законодательства Российской Федерации, в том числе к оспариванию соглашений или приказов об увеличении размера заработной платы, о выплате премий или об осуществлении иных выплат в соответствии с трудовым законодательством Российской Федерации и к оспариванию самих таких выплат. К действиям, совершенным во исполнение судебных актов или правовых актов иных органов государственной власти, применяются правила, предусмотренные настоящей главой.» В пункте 1 Постановления № 63 среди оспариваемых по правилам главы III.1 действий прямо названа «выплата заработной платы, в том числе премии».</w:t>
      </w:r>
    </w:p>
    <w:p>
      <w:pPr>
        <w:spacing w:after="120" w:line="276" w:lineRule="auto"/>
        <w:ind w:firstLine="709"/>
        <w:jc w:val="both"/>
      </w:pPr>
      <w:r>
        <w:rPr>
          <w:rFonts w:ascii="Times New Roman" w:hAnsi="Times New Roman"/>
          <w:b/>
          <w:i w:val="0"/>
          <w:sz w:val="24"/>
        </w:rPr>
        <w:t>Основание — пункт 1 статьи 61.2 Закона о банкротстве.</w:t>
      </w:r>
      <w:r>
        <w:rPr>
          <w:rFonts w:ascii="Times New Roman" w:hAnsi="Times New Roman"/>
          <w:b w:val="0"/>
          <w:i w:val="0"/>
          <w:sz w:val="24"/>
        </w:rPr>
        <w:t xml:space="preserve"> Пунктом 1 статьи 61.2 Закона о банкротстве установлено: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w:t>
      </w:r>
    </w:p>
    <w:p>
      <w:pPr>
        <w:spacing w:after="120" w:line="276" w:lineRule="auto"/>
        <w:ind w:firstLine="709"/>
        <w:jc w:val="both"/>
      </w:pPr>
      <w:r>
        <w:rPr>
          <w:rFonts w:ascii="Times New Roman" w:hAnsi="Times New Roman"/>
          <w:b w:val="0"/>
          <w:i w:val="0"/>
          <w:sz w:val="24"/>
        </w:rPr>
        <w:t>В годичный период выплаты сверх рыночного уровня оплаты труда при неизменном объёме работы — сделки с неравноценным встречным исполнением (пункт 1 статьи 61.2 Закона о банкротстве): рыночная стоимость труда ответчика ([сумма] руб. в месяц) существенно ниже выплаченного.</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Состав пункта 2 статьи 61.2 Закона о банкротстве доказан: соглашение и приказы приняты, а выплаты совершены в трёхлетний период при неплатёжеспособности, в пользу заинтересованного лица, без эквивалентного встречного предоставления; вред — уменьшение конкурсной массы; осведомлённость ответчика презюмируется. Верховный Суд Российской Федерации допускает оспаривание начисления и выплаты необоснованно высокой заработной платы и премий руководителю в преддверии банкротства как сделок во вред кредиторам (определения от 21.12.2020 № 305-ЭС17-9623(7), от 25.03.2021 № 310-ЭС20-18954).</w:t>
      </w:r>
    </w:p>
    <w:p>
      <w:pPr>
        <w:spacing w:after="120" w:line="276" w:lineRule="auto"/>
        <w:ind w:firstLine="709"/>
        <w:jc w:val="both"/>
      </w:pPr>
      <w:r>
        <w:rPr>
          <w:rFonts w:ascii="Times New Roman" w:hAnsi="Times New Roman"/>
          <w:b/>
          <w:i w:val="0"/>
          <w:sz w:val="24"/>
        </w:rPr>
        <w:t>Сделка не относится к обычной хозяйственной деятельности.</w:t>
      </w:r>
      <w:r>
        <w:rPr>
          <w:rFonts w:ascii="Times New Roman" w:hAnsi="Times New Roman"/>
          <w:b w:val="0"/>
          <w:i w:val="0"/>
          <w:sz w:val="24"/>
        </w:rPr>
        <w:t xml:space="preserve"> Пунктом 2 статьи 61.4 Закона о банкротстве установлено: «Сделки по передаче имущества и принятию обязательств или обязанностей, совершаемые в обычной хозяйственной деятельности, осуществляемой должником, не могут быть оспорены на основании пункта 1 статьи 61.2 и статьи 61.3 настоящего Федерального закона,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 Пунктом 14 Постановления № 63 разъяснено: «Согласно пункту 2 статьи 61.4 Закона о банкротстве сделки по передаче имущества и принятию обязательств или обязанностей, совершаемые в обычной хозяйственной деятельности, осуществляемой должником, не могут быть оспорены на основании пункта 1 статьи 61.2 или статьи 61.3 Закона о банкротстве, если цена имущества, передаваемого по одной или нескольким взаимосвязанным сделкам, или размер принятых обязательств или обязанностей не превышает один процент стоимости активов должника, определяемой на основании бухгалтерской отчетности должника за последний отчетный период. Бремя доказывания того, что сделка была совершена в процессе обычной хозяйственной деятельности, осуществляемой должником, лежит на другой стороне сделки. Бремя доказывания того, что цена сделки превысила один процент стоимости активов должника, лежит на оспаривающем сделку лице. При определении того, была ли сделка совершена в процессе обычной хозяйственной деятельности должника, следует учитывать, что таковой является сделка, не отличающаяся существенно по своим основным условиям от аналогичных сделок, неоднократно совершавшихся до этого должником в течение продолжительного периода времени. К таким сделкам, в частности, с учетом всех обстоятельств дела могут быть отнесены платежи по длящимся обязательствам (возврат очередной части кредита в соответствии с графиком, уплата ежемесячной арендной платы, выплата заработной платы, оплата коммунальных услуг, платежи за услуги сотовой связи и Интернет, уплата налогов и т.п.). Не могут быть, по общему правилу, отнесены к таким сделкам платеж со значительной просрочкой, предоставление отступного, а также не обоснованный разумными экономическими причинами досрочный возврат кредита.» Оспариваемый платёж [превышает один процент стоимости активов Должника по балансу на последнюю отчётную дату ([сумма] руб. — приложение) / совершён со значительной просрочкой / является досрочным возвратом долга / предоставлением отступного], поэтому исключение пункта 2 статьи 61.4 Закона о банкротстве не применяется.</w:t>
      </w:r>
    </w:p>
    <w:p>
      <w:pPr>
        <w:spacing w:after="120" w:line="276" w:lineRule="auto"/>
        <w:ind w:firstLine="709"/>
        <w:jc w:val="both"/>
      </w:pPr>
      <w:r>
        <w:rPr>
          <w:rFonts w:ascii="Times New Roman" w:hAnsi="Times New Roman"/>
          <w:b w:val="0"/>
          <w:i w:val="0"/>
          <w:sz w:val="24"/>
        </w:rPr>
        <w:t>Повышение оклада в [__] раз и разовые премии при падении выручки не являются выплатами в процессе обычной хозяйственной деятельности (пункт 14 Постановления № 63 относит к таковым лишь выплату заработной платы в прежнем размере).</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В силу пункта 1 статьи 61.9 Закона о банкротстве срок исковой давности исчисляется с момента, когда арбитражный управляющий узнал или должен был узнать о наличии оснований для оспаривания сделки. Конкурсный управляющий утверждён «[дата]»; документация Должника получена от бывшего руководителя «[дата]» [вариант: не передана, сведения о сделке получены из [источник] «[дата]»], поэтому годичный срок на дату подачи заявления не истёк.</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С ответчика подлежит взысканию в конкурсную массу сумма выплат сверх прежнего оклада — [сумма] руб.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Ограничения на взыскание излишне выплаченной заработной платы (статья 137 ТК РФ) не применяются к возврату полученного по недействительной сделке в деле о банкротстве, поскольку требование основано на статье 61.6 Закона о банкротстве, а не на нормах трудового права.</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ответчик — контролирующее лицо, осведомлённое о споре и способное вывести средства. Испрашиваемая мера в виде наложения ареста на денежные средства и имущество ответчика в пределах [сумма] руб.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организаций — 50 000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25 000 руб. За ходатайство об обеспечительных мерах пошлина составляет 15 000 руб. (подп. 17 п. 1 ст. 333.21 НК РФ — 30 000 руб. — с учётом подп. 9 п. 1 той же статьи).</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395, 1102, 1107 Гражданского кодекса Российской Федерации, статьями 2, 19, 61.1, 61.2, 61.4, 61.6, 61.8, 61.9, 129 Федерального закона «О несостоятельности (банкротстве)», статьями 65, 90, 91, 92, 125, 126, 223 Арбитражного процессуального кодекса Российской Федерации, статьями 129, 135, 191 Трудового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наложить арест на денежные средства и иное имущество [Ф. И. О. ответчика] в пределах [сумма] руб.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недействительными дополнительное соглашение от «[дата]» к трудовому договору от «[дата]» № [__] в части увеличения оклада [Ф. И. О. ответчика] свыше [сумма] руб., приказы о премировании от «[дата]» № [__], от «[дата]» № [__] и сделки по выплате [Ф. И. О. ответчика] заработной платы сверх [сумма] руб. в месяц и премий за период с «[дата]» по «[дата]» на общую сумму [сумма] руб.</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сделок: взыскать с [Ф. И. О. ответчика] в конкурсную массу [наименование Должника] [сумма] руб. и проценты по статье 395 ГК РФ с дат выплат по день возврата.</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Копии трудового договора, дополнительного соглашения, приказов о премировании, штатных расписаний и должностной инструкции; расчётные листки, ведомости, выписка по счёту; расчёт суммы превышения.</w:t>
      </w:r>
    </w:p>
    <w:p>
      <w:pPr>
        <w:spacing w:after="40" w:line="276" w:lineRule="auto"/>
        <w:jc w:val="left"/>
      </w:pPr>
      <w:r>
        <w:rPr>
          <w:rFonts w:ascii="Times New Roman" w:hAnsi="Times New Roman"/>
          <w:b w:val="0"/>
          <w:i w:val="0"/>
          <w:sz w:val="24"/>
        </w:rPr>
        <w:t>4. Бухгалтерская отчётность Должника за период (динамика выручки, убытки); сведения о задолженности по заработной плате перед иными работниками.</w:t>
      </w:r>
    </w:p>
    <w:p>
      <w:pPr>
        <w:spacing w:after="40" w:line="276" w:lineRule="auto"/>
        <w:jc w:val="left"/>
      </w:pPr>
      <w:r>
        <w:rPr>
          <w:rFonts w:ascii="Times New Roman" w:hAnsi="Times New Roman"/>
          <w:b w:val="0"/>
          <w:i w:val="0"/>
          <w:sz w:val="24"/>
        </w:rPr>
        <w:t>5. Сведения о среднерыночной оплате труда по должности (статистика, вакансии); выписка из ЕГРЮЛ и иные доказательства заинтересованности ответчика.</w:t>
      </w:r>
    </w:p>
    <w:p>
      <w:pPr>
        <w:spacing w:after="40" w:line="276" w:lineRule="auto"/>
        <w:jc w:val="left"/>
      </w:pPr>
      <w:r>
        <w:rPr>
          <w:rFonts w:ascii="Times New Roman" w:hAnsi="Times New Roman"/>
          <w:b w:val="0"/>
          <w:i w:val="0"/>
          <w:sz w:val="24"/>
        </w:rPr>
        <w:t>6.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7.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8.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9.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10.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11.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 [и иным лицам, участвующим в деле].</w:t>
      </w:r>
    </w:p>
    <w:p>
      <w:pPr>
        <w:spacing w:after="40" w:line="276" w:lineRule="auto"/>
        <w:jc w:val="left"/>
      </w:pPr>
      <w:r>
        <w:rPr>
          <w:rFonts w:ascii="Times New Roman" w:hAnsi="Times New Roman"/>
          <w:b w:val="0"/>
          <w:i w:val="0"/>
          <w:sz w:val="24"/>
        </w:rPr>
        <w:t>12.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Оспаривайте не трудовой договор целиком, а повышение и премии в части превышения над обоснованным уровнем: суды возвращают разницу, а не всю зарплату. Рыночный уровень подтвердите статистикой и прежним окладом.</w:t>
      </w:r>
    </w:p>
    <w:p>
      <w:pPr>
        <w:spacing w:after="40" w:line="276" w:lineRule="auto"/>
        <w:jc w:val="both"/>
      </w:pPr>
      <w:r>
        <w:rPr>
          <w:rFonts w:ascii="Times New Roman" w:hAnsi="Times New Roman"/>
          <w:b w:val="0"/>
          <w:i/>
          <w:sz w:val="24"/>
        </w:rPr>
        <w:t>— Для рядовых работников без признаков аффилированности шансы низкие — п. 3 ст. 61.1 применяется прежде всего к руководству и связанным лицам.</w:t>
      </w:r>
    </w:p>
    <w:p>
      <w:pPr>
        <w:spacing w:after="40" w:line="276" w:lineRule="auto"/>
        <w:jc w:val="both"/>
      </w:pPr>
      <w:r>
        <w:rPr>
          <w:rFonts w:ascii="Times New Roman" w:hAnsi="Times New Roman"/>
          <w:b w:val="0"/>
          <w:i/>
          <w:sz w:val="24"/>
        </w:rPr>
        <w:t>— Если руководитель сам подписывал себе премии без решения участников, дополнительно укажите на нарушение ст. 40 Закона об ООО и уставных ограничений; возможен также иск об убытках (ст. 53.1 ГК РФ).</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