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договора займа и соглашения об отступном как притворных (мнимых) сделок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«[дата]» представителем Должника финансовому управляющему переданы копии: договора займа от «[дата]», по которому [Ф. И. О. ответчика] якобы передал Должнику [сумма] руб. [под [__] % в месяц] (далее — Договор займа), и соглашения об отступном от «[дата]» (далее — Соглашение), которым Должник в счёт долга по займу передал ответчику [жилой дом площадью [__] кв. м и земельный участок площадью [__] кв. м по адресу: [__], кадастровые номера [__]] (далее — Имущество) кадастровой стоимостью [сумма] руб. и рыночной стоимостью [сумма] руб. Переход права зарегистрирован «[дата]». Ответчик — [знакомый / родственник / деловой партнёр] Должника.</w:t>
      </w:r>
    </w:p>
    <w:p>
      <w:pPr>
        <w:spacing w:after="120" w:line="276" w:lineRule="auto"/>
        <w:ind w:firstLine="709"/>
        <w:jc w:val="both"/>
      </w:pPr>
      <w:r>
        <w:rPr>
          <w:rFonts w:ascii="Times New Roman" w:hAnsi="Times New Roman"/>
          <w:b w:val="0"/>
          <w:i w:val="0"/>
          <w:sz w:val="24"/>
        </w:rPr>
        <w:t>Реальность займа ничем не подтверждена: денежные средства на счета Должника не поступали (выписки по всем счетам за [год] прилагаются); расписка о получении наличных [отсутствует / составлена без указания источника средств]; у ответчика не было дохода, позволявшего предоставить [сумма] руб. (справки о доходах, отсутствие снятия наличных с его счетов); Должник заёмные средства ни на что не израсходовал (крупных покупок, погашений долгов в период займа не было); проценты по займу никогда не уплачивались, требования о возврате не предъявлялись; «просрочка» в [__] лет не сопровождалась ни претензиями, ни иском. Условия займа ([__] % в месяц, отсутствие обеспечения) недоступны независимым участникам оборота.</w:t>
      </w:r>
    </w:p>
    <w:p>
      <w:pPr>
        <w:spacing w:after="120" w:line="276" w:lineRule="auto"/>
        <w:ind w:firstLine="709"/>
        <w:jc w:val="both"/>
      </w:pPr>
      <w:r>
        <w:rPr>
          <w:rFonts w:ascii="Times New Roman" w:hAnsi="Times New Roman"/>
          <w:b w:val="0"/>
          <w:i w:val="0"/>
          <w:sz w:val="24"/>
        </w:rPr>
        <w:t>Соглашение заключено [в период рассмотрения иска кредитора к Должнику / после возбуждения исполнительного производства / за [__] месяцев до подачи заявления о банкротстве]. Переданное Имущество по стоимости превышает «долг» в [__] раз.</w:t>
      </w:r>
    </w:p>
    <w:p>
      <w:pPr>
        <w:spacing w:after="120" w:line="276" w:lineRule="auto"/>
        <w:jc w:val="center"/>
      </w:pPr>
      <w:r>
        <w:rPr>
          <w:rFonts w:ascii="Times New Roman" w:hAnsi="Times New Roman"/>
          <w:b/>
          <w:i w:val="0"/>
          <w:sz w:val="24"/>
        </w:rPr>
        <w:t>II. Долги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Правовое обоснование</w:t>
      </w:r>
    </w:p>
    <w:p>
      <w:pPr>
        <w:spacing w:after="120" w:line="276" w:lineRule="auto"/>
        <w:ind w:firstLine="709"/>
        <w:jc w:val="both"/>
      </w:pPr>
      <w:r>
        <w:rPr>
          <w:rFonts w:ascii="Times New Roman" w:hAnsi="Times New Roman"/>
          <w:b/>
          <w:i w:val="0"/>
          <w:sz w:val="24"/>
        </w:rPr>
        <w:t>Безденежность займа.</w:t>
      </w:r>
      <w:r>
        <w:rPr>
          <w:rFonts w:ascii="Times New Roman" w:hAnsi="Times New Roman"/>
          <w:b w:val="0"/>
          <w:i w:val="0"/>
          <w:sz w:val="24"/>
        </w:rPr>
        <w:t xml:space="preserve"> Пунктом 1 статьи 807 ГК РФ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Пунктом 1 статьи 812 ГК РФ предусмотрено: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Поскольку деньги Должнику не передавались, заёмное обязательство не возникло, а «долг», в счёт которого передано Имущество, не существовал.</w:t>
      </w:r>
    </w:p>
    <w:p>
      <w:pPr>
        <w:spacing w:after="120" w:line="276" w:lineRule="auto"/>
        <w:ind w:firstLine="709"/>
        <w:jc w:val="both"/>
      </w:pPr>
      <w:r>
        <w:rPr>
          <w:rFonts w:ascii="Times New Roman" w:hAnsi="Times New Roman"/>
          <w:b/>
          <w:i w:val="0"/>
          <w:sz w:val="24"/>
        </w:rPr>
        <w:t>Притворность сделки (пункт 2 статьи 170 ГК РФ).</w:t>
      </w:r>
      <w:r>
        <w:rPr>
          <w:rFonts w:ascii="Times New Roman" w:hAnsi="Times New Roman"/>
          <w:b w:val="0"/>
          <w:i w:val="0"/>
          <w:sz w:val="24"/>
        </w:rPr>
        <w:t xml:space="preserve"> Пунктом 2 статьи 170 ГК РФ установлено: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Пунктом 87 Постановления № 25 разъяснено: «Согласно пункту 2 статьи 170 ГК РФ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 К сделке, которую стороны действительно имели в виду (прикрываемая сделка), с учетом ее существа и содержания применяются относящиеся к ней правила (пункт 2 статьи 170 ГК РФ). Прикрываемая сделка может быть также признана недействительной по основаниям, установленным ГК РФ или специальными законами.» Согласно пункту 88 Постановления № 25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w:t>
      </w:r>
    </w:p>
    <w:p>
      <w:pPr>
        <w:spacing w:after="120" w:line="276" w:lineRule="auto"/>
        <w:ind w:firstLine="709"/>
        <w:jc w:val="both"/>
      </w:pPr>
      <w:r>
        <w:rPr>
          <w:rFonts w:ascii="Times New Roman" w:hAnsi="Times New Roman"/>
          <w:b w:val="0"/>
          <w:i w:val="0"/>
          <w:sz w:val="24"/>
        </w:rPr>
        <w:t>Договор займа и Соглашение образуют единую притворную конструкцию: воля обеих сторон была направлена не на предоставление займа и его погашение, а на безвозмездную передачу Имущества ответчику с созданием видимости возмездности и «вынужденности» передачи. Прикрываемая сделка — дарение недвижимости (пункт 1 статьи 572 ГК РФ: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совершённое неплатёжеспособным Должником в ущерб кредиторам. По правилам пункта 2 статьи 170 ГК РФ прикрывающие сделки ничтожны, а к прикрываемой применяются относящиеся к ней правила, в том числе о её недействительности по специальным основаниям (пункт 87 Постановления № 25).</w:t>
      </w:r>
    </w:p>
    <w:p>
      <w:pPr>
        <w:spacing w:after="120" w:line="276" w:lineRule="auto"/>
        <w:ind w:firstLine="709"/>
        <w:jc w:val="both"/>
      </w:pPr>
      <w:r>
        <w:rPr>
          <w:rFonts w:ascii="Times New Roman" w:hAnsi="Times New Roman"/>
          <w:b/>
          <w:i w:val="0"/>
          <w:sz w:val="24"/>
        </w:rPr>
        <w:t>Мнимость сделки (пункт 1 статьи 170 ГК РФ).</w:t>
      </w:r>
      <w:r>
        <w:rPr>
          <w:rFonts w:ascii="Times New Roman" w:hAnsi="Times New Roman"/>
          <w:b w:val="0"/>
          <w:i w:val="0"/>
          <w:sz w:val="24"/>
        </w:rPr>
        <w:t xml:space="preserve"> Пунктом 1 статьи 170 ГК РФ установлено: «Мнимая сделка, то есть сделка, совершенная лишь для вида, без намерения создать соответствующие ей правовые последствия, ничтожна.» Пунктом 86 Постановления № 25 разъяснено: «Следует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 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w:t>
      </w:r>
    </w:p>
    <w:p>
      <w:pPr>
        <w:spacing w:after="120" w:line="276" w:lineRule="auto"/>
        <w:ind w:firstLine="709"/>
        <w:jc w:val="both"/>
      </w:pPr>
      <w:r>
        <w:rPr>
          <w:rFonts w:ascii="Times New Roman" w:hAnsi="Times New Roman"/>
          <w:b w:val="0"/>
          <w:i w:val="0"/>
          <w:sz w:val="24"/>
        </w:rPr>
        <w:t>[Альтернативно: Договор займа мним — стороны не намеревались создать заёмное обязательство, оформив его лишь как основание для последующего «погашения» Имуществом.]</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Создание фиктивной задолженности для вывода имущества под видом отступного — классическая форма злоупотребления правом (определение Верховного Суда Российской Федерации от 17.12.2020 № 305-ЭС20-12206: в преддверии банкротства должник может принимать фиктивные долговые обязательства перед доверенными лицами). Сделки ничтожны по статьям 10 и 168 ГК РФ.</w:t>
      </w:r>
    </w:p>
    <w:p>
      <w:pPr>
        <w:spacing w:after="120" w:line="276" w:lineRule="auto"/>
        <w:ind w:firstLine="709"/>
        <w:jc w:val="both"/>
      </w:pPr>
      <w:r>
        <w:rPr>
          <w:rFonts w:ascii="Times New Roman" w:hAnsi="Times New Roman"/>
          <w:b w:val="0"/>
          <w:i w:val="0"/>
          <w:sz w:val="24"/>
        </w:rPr>
        <w:t>[В трёхлетний период — также пункт 2 статьи 61.2 Закона о банкротстве: сделка во вред кредиторам в пользу фактически аффилированного лица без реального встречного предоставления; при передаче Имущества в шестимесячный период — статья 61.3 (предпочтение) и пункт 1 статьи 61.2 (неравноценность).]</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jc w:val="center"/>
      </w:pPr>
      <w:r>
        <w:rPr>
          <w:rFonts w:ascii="Times New Roman" w:hAnsi="Times New Roman"/>
          <w:b/>
          <w:i w:val="0"/>
          <w:sz w:val="24"/>
        </w:rPr>
        <w:t>IV. Срок исковой давности</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ind w:firstLine="709"/>
        <w:jc w:val="both"/>
      </w:pPr>
      <w:r>
        <w:rPr>
          <w:rFonts w:ascii="Times New Roman" w:hAnsi="Times New Roman"/>
          <w:b w:val="0"/>
          <w:i w:val="0"/>
          <w:sz w:val="24"/>
        </w:rPr>
        <w:t>О сделках финансовый управляющий узнал «[дата]» при получении документов от представителя Должника; первая процедура введена «[дата]».</w:t>
      </w:r>
    </w:p>
    <w:p>
      <w:pPr>
        <w:spacing w:after="120" w:line="276" w:lineRule="auto"/>
        <w:jc w:val="center"/>
      </w:pPr>
      <w:r>
        <w:rPr>
          <w:rFonts w:ascii="Times New Roman" w:hAnsi="Times New Roman"/>
          <w:b/>
          <w:i w:val="0"/>
          <w:sz w:val="24"/>
        </w:rPr>
        <w:t>V.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Поскольку заём безденежен, никаких встречных требований ответчика к Должнику при возврате Имущества не восстанавливается.</w:t>
      </w:r>
    </w:p>
    <w:p>
      <w:pPr>
        <w:spacing w:after="120" w:line="276" w:lineRule="auto"/>
        <w:jc w:val="center"/>
      </w:pPr>
      <w:r>
        <w:rPr>
          <w:rFonts w:ascii="Times New Roman" w:hAnsi="Times New Roman"/>
          <w:b/>
          <w:i w:val="0"/>
          <w:sz w:val="24"/>
        </w:rPr>
        <w:t>VI.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получивший Имущество без реального предоставления, может перепродать его третьему лицу. Испрашиваемая мера в виде запрета Управлению Росреестра по [субъект] совершать регистрационные действия в отношении Имущества (кадастровые номера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170, 409, 572, 807, 812 Гражданского кодекса Российской Федерации, статьями 2, 19, 61.1, 61.2, 61.3, 61.6, 61.8, 213.9,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[Имущество, кадастровые номера]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(ничтожными) договор займа от «[дата]» и соглашение об отступном от «[дата]», заключённые между [Ф. И. О. Должника] и [Ф. И. О.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обязать [Ф. И. О. ответчика] возвратить [Имущество, кадастровые номера] в конкурсную массу [Ф. И. О. Должника]; указать, что определение является основанием для внесения записей в ЕГРН.</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договора займа, расписки, соглашения об отступном; выписки из ЕГРН об Имуществе и переходе прав.</w:t>
      </w:r>
    </w:p>
    <w:p>
      <w:pPr>
        <w:spacing w:after="40" w:line="276" w:lineRule="auto"/>
        <w:jc w:val="left"/>
      </w:pPr>
      <w:r>
        <w:rPr>
          <w:rFonts w:ascii="Times New Roman" w:hAnsi="Times New Roman"/>
          <w:b w:val="0"/>
          <w:i w:val="0"/>
          <w:sz w:val="24"/>
        </w:rPr>
        <w:t>4. Выписки по всем счетам Должника за период займа (отсутствие поступления и расходования заёмных средств); сведения о доходах ответчика.</w:t>
      </w:r>
    </w:p>
    <w:p>
      <w:pPr>
        <w:spacing w:after="40" w:line="276" w:lineRule="auto"/>
        <w:jc w:val="left"/>
      </w:pPr>
      <w:r>
        <w:rPr>
          <w:rFonts w:ascii="Times New Roman" w:hAnsi="Times New Roman"/>
          <w:b w:val="0"/>
          <w:i w:val="0"/>
          <w:sz w:val="24"/>
        </w:rPr>
        <w:t>5. Сведения о кадастровой и рыночной стоимости Имущества (отчёт об оценке).</w:t>
      </w:r>
    </w:p>
    <w:p>
      <w:pPr>
        <w:spacing w:after="40" w:line="276" w:lineRule="auto"/>
        <w:jc w:val="left"/>
      </w:pPr>
      <w:r>
        <w:rPr>
          <w:rFonts w:ascii="Times New Roman" w:hAnsi="Times New Roman"/>
          <w:b w:val="0"/>
          <w:i w:val="0"/>
          <w:sz w:val="24"/>
        </w:rPr>
        <w:t>6. Доказательства отношений сторон и совпадения даты сделок с предъявлением требований кредиторов.</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Опровергайте реальность займа по всем направлениям: нет поступления денег, нет их расходования, нет финансовой возможности у займодавца, нет типичного поведения кредитора (проценты, претензии). Повышенный стандарт доказывания к аффилированному займодавцу — Обзор ВС РФ от 29.01.2020.</w:t>
      </w:r>
    </w:p>
    <w:p>
      <w:pPr>
        <w:spacing w:after="40" w:line="276" w:lineRule="auto"/>
        <w:jc w:val="both"/>
      </w:pPr>
      <w:r>
        <w:rPr>
          <w:rFonts w:ascii="Times New Roman" w:hAnsi="Times New Roman"/>
          <w:b w:val="0"/>
          <w:i/>
          <w:sz w:val="24"/>
        </w:rPr>
        <w:t>— Квалифицируйте и как притворность (единая сделка дарения), и как мнимость займа, и как злоупотребление правом; суд выберет норму сам (п. 9 Постановления № 25).</w:t>
      </w:r>
    </w:p>
    <w:p>
      <w:pPr>
        <w:spacing w:after="40" w:line="276" w:lineRule="auto"/>
        <w:jc w:val="both"/>
      </w:pPr>
      <w:r>
        <w:rPr>
          <w:rFonts w:ascii="Times New Roman" w:hAnsi="Times New Roman"/>
          <w:b w:val="0"/>
          <w:i/>
          <w:sz w:val="24"/>
        </w:rPr>
        <w:t>— Если заём реален, но отступное несоразмерно долгу — используйте образец об отступном с предпочтением (ст. 61.3, п. 1 ст. 61.2).</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