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ООО «[наименование общества]»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купли-продажи доли в уставном капитале общества с ограниченной ответственностью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 являлся участником ООО «[наименование]» (ОГРН [__], далее — Общество) с долей [__] % уставного капитала номинальной стоимостью [сумма] руб. По договору купли-продажи доли от «[дата]», удостоверенному нотариусом [Ф. И. О.] (реестровый № [__]) (далее — Договор), Должник продал долю [Ф. И. О. ответчика] за [сумма] руб., равную её номинальной стоимости. Запись о переходе доли внесена в ЕГРЮЛ «[дата]» (ГРН [__]). Пунктом 12 статьи 21 Федерального закона от 08.02.1998 № 14-ФЗ «Об обществах с ограниченной ответственностью» (далее — Закон об ООО) установлено: «Доля или часть доли в уставном капитале общества переходит к ее приобретателю с момента внесения соответствующей записи в единый государственный реестр юридических лиц, за исключением случаев, предусмотренных пунктом 7 статьи 23 настоящего Федерального закона. Внесение в единый государственный реестр юридических лиц записи о переходе доли или части доли в уставном капитале общества в случаях, не требующих нотариального удостоверения сделки, направленной на отчуждение доли или части доли в уставном капитале общества, осуществляется на основании правоустанавливающих документов.»</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одного года до принятия заявления о признании Должника банкротом, и подпадает под период, установленный пунктом 1 статьи 61.2 Закона о банкротстве (а также трёхлетний период пункта 2 той же статьи).</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Неравноценность встречного исполнения</w:t>
      </w:r>
    </w:p>
    <w:p>
      <w:pPr>
        <w:spacing w:after="120" w:line="276" w:lineRule="auto"/>
        <w:ind w:firstLine="709"/>
        <w:jc w:val="both"/>
      </w:pPr>
      <w:r>
        <w:rPr>
          <w:rFonts w:ascii="Times New Roman" w:hAnsi="Times New Roman"/>
          <w:b w:val="0"/>
          <w:i w:val="0"/>
          <w:sz w:val="24"/>
        </w:rPr>
        <w:t>Номинальная стоимость доли не отражает её реальной ценности. Абзацем вторым пункта 2 статьи 14 Закона об ООО установлено: «Действительная стоимость доли участника общества соответствует части стоимости чистых активов общества, пропорциональной размеру его доли, если иное не установлено настоящим Федеральным законом.» По данным бухгалтерской отчётности Общества за [год], предшествующий сделке, стоимость чистых активов составляла [сумма] руб. (баланс — приложение), следовательно, действительная стоимость доли Должника ([__] %) — не менее [сумма] руб. Обществу принадлежит [недвижимость по адресу [__] кадастровой стоимостью [сумма] руб. / транспортные средства / дебиторская задолженность], выручка за [год] — [сумма] руб., чистая прибыль — [сумма] руб. Рыночная стоимость доли по отчёту оценщика от «[дата]» № [__] — [сумма] руб., что превышает цену Договора в [__] раз.</w:t>
      </w:r>
    </w:p>
    <w:p>
      <w:pPr>
        <w:spacing w:after="120" w:line="276" w:lineRule="auto"/>
        <w:ind w:firstLine="709"/>
        <w:jc w:val="both"/>
      </w:pPr>
      <w:r>
        <w:rPr>
          <w:rFonts w:ascii="Times New Roman" w:hAnsi="Times New Roman"/>
          <w:b w:val="0"/>
          <w:i w:val="0"/>
          <w:sz w:val="24"/>
        </w:rPr>
        <w:t>Оплата цены Договора не подтверждена: денежные средства на счета Должника не поступали (выписки прилагаются), иных доказательств расчёта нет. Экономически сделка означает безвозмездную передачу контроля над действующим бизнесом.</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[После продажи доли Должник остался руководителем Общества / продолжает фактически управлять им (подписывает договоры, распоряжается счетами), что подтверждает сохранение контроля над имуществом и образует презумпцию абзаца пятого пункта 2 статьи 61.2 Закона о банкротстве.]</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Пунктом 8 Постановления № 63 разъяснено: «Для признания сделки недействительной на основании указанной нормы не требуется, чтобы она уже была исполнена обеими или одной из сторон сделки, поэтому неравноценность встречного исполнения обязательств может устанавливаться исходя из условий сделки.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аналогичные сделки совершались иными участниками оборота. На основании пункта 1 статьи 61.2 Закона о банкротстве может быть оспорена также сделка, условия которой формально предусматривают равноценное встречное исполнение, однако должнику на момент ее заключения было известно, что у контрагента по сделке нет и не будет имущества, достаточного для осуществления им встречного исполнения.» Согласно пункту 9 Постановления № 63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w:t>
      </w:r>
    </w:p>
    <w:p>
      <w:pPr>
        <w:spacing w:after="120" w:line="276" w:lineRule="auto"/>
        <w:ind w:firstLine="709"/>
        <w:jc w:val="both"/>
      </w:pPr>
      <w:r>
        <w:rPr>
          <w:rFonts w:ascii="Times New Roman" w:hAnsi="Times New Roman"/>
          <w:b w:val="0"/>
          <w:i w:val="0"/>
          <w:sz w:val="24"/>
        </w:rPr>
        <w:t>Продажа доли по номинальной стоимости при многократно большей действительной стоимости — неравноценное встречное исполнение; сделка недействительна по пункту 1 статьи 61.2 Закона о банкротстве без доказывания недобросовестности покупателя (пункт 9 Постановления № 63).</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Состав пункта 2 статьи 61.2 Закона о банкротстве также доказан: сделка совершена при наличии неисполненных обязательств в пользу заинтересованного лица фактически безвозмездно; вред выразился в выбытии из конкурсной массы доли действительной стоимостью [сумма] руб., которая могла быть реализована на торгах в порядке статьи 213.26 Закона о банкротстве.</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Доля сохранилась за ответчиком (выписка из ЕГРЮЛ), поэтому подлежит возврату в конкурсную массу путём восстановления Должника в правах участника Общества с долей [__] %; определение суда является основанием для внесения соответствующих изменений в ЕГРЮЛ (подпункт 5 пункта 13.1 статьи 21 Закона об ООО). [Если доля ответчиком отчуждена далее — взыскать действительную стоимость доли на момент её приобретения — [сумма] руб.]</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доля может быть перепродана, заложена или «размыта» решением об увеличении уставного капитала; Общество может быть реорганизовано или ликвидировано по решению ответчика как единственного участника. Испрашиваемая мера в виде запрета [Межрайонной ИФНС России № [__] по субъекту] вносить в ЕГРЮЛ изменения в сведения об участниках Общества и о размере их долей, а также запрета ответчику отчуждать и обременять долю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Гражданского кодекса Российской Федерации, статьями 2, 19, 61.1, 61.2, 61.6, 61.8, 61.9,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[наименование регистрирующего органа] вносить в Единый государственный реестр юридических лиц изменения в сведения об участниках ООО «[наименование]» (ОГРН [__]) и о размере принадлежащих им долей, а также записи о реорганизации или ликвидации Общества; запретить [Ф. И. О. ответчика] отчуждать и обременять долю в размере [__] % уставного капитала Общества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купли-продажи доли в уставном капитале ООО «[наименование]» от «[дата]», заключённый между [Ф. И. О. Должника] и [Ф. И. О. ответчика].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восстановить [Ф. И. О. Должника] в правах участника ООО «[наименование]» с долей [__] % уставного капитала номинальной стоимостью [сумма] руб. с одновременным лишением [Ф. И. О. ответчика] права на эту долю; указать, что определение является основанием для внесения изменений в ЕГРЮЛ [при невозможности возврата доли — взыскать с ответчика действительную стоимость доли в размере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Выписка из ЕГРЮЛ в отношении Общества (актуальная и на дату сделки); копия нотариально удостоверенного Договора; лист записи ЕГРЮЛ.</w:t>
      </w:r>
    </w:p>
    <w:p>
      <w:pPr>
        <w:spacing w:after="40" w:line="276" w:lineRule="auto"/>
        <w:jc w:val="left"/>
      </w:pPr>
      <w:r>
        <w:rPr>
          <w:rFonts w:ascii="Times New Roman" w:hAnsi="Times New Roman"/>
          <w:b w:val="0"/>
          <w:i w:val="0"/>
          <w:sz w:val="24"/>
        </w:rPr>
        <w:t>4. Бухгалтерская отчётность Общества за [год] (баланс, отчёт о финансовых результатах); расчёт стоимости чистых активов; отчёт об оценке доли.</w:t>
      </w:r>
    </w:p>
    <w:p>
      <w:pPr>
        <w:spacing w:after="40" w:line="276" w:lineRule="auto"/>
        <w:jc w:val="left"/>
      </w:pPr>
      <w:r>
        <w:rPr>
          <w:rFonts w:ascii="Times New Roman" w:hAnsi="Times New Roman"/>
          <w:b w:val="0"/>
          <w:i w:val="0"/>
          <w:sz w:val="24"/>
        </w:rPr>
        <w:t>5. Сведения об имуществе Общества (выписки из ЕГРН, ГИБДД); выписки по счетам Должника (отсутствие оплаты).</w:t>
      </w:r>
    </w:p>
    <w:p>
      <w:pPr>
        <w:spacing w:after="40" w:line="276" w:lineRule="auto"/>
        <w:jc w:val="left"/>
      </w:pPr>
      <w:r>
        <w:rPr>
          <w:rFonts w:ascii="Times New Roman" w:hAnsi="Times New Roman"/>
          <w:b w:val="0"/>
          <w:i w:val="0"/>
          <w:sz w:val="24"/>
        </w:rPr>
        <w:t>6. Доказательства заинтересованности ответчика и сохранения контроля Должника над Обществом.</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Данные о чистых активах запрашивайте в ФНС (бухгалтерская отчётность — в открытом ресурсе БФО) и у самого Общества; при отказе — ходатайствуйте об истребовании (ст. 66 АПК РФ). Для спора о реальной стоимости доли может понадобиться судебная экспертиза.</w:t>
      </w:r>
    </w:p>
    <w:p>
      <w:pPr>
        <w:spacing w:after="40" w:line="276" w:lineRule="auto"/>
        <w:jc w:val="both"/>
      </w:pPr>
      <w:r>
        <w:rPr>
          <w:rFonts w:ascii="Times New Roman" w:hAnsi="Times New Roman"/>
          <w:b w:val="0"/>
          <w:i/>
          <w:sz w:val="24"/>
        </w:rPr>
        <w:t>— Привлеките Общество третьим лицом: судебный акт затронет состав его участников. Нотариус к участию не привлекается.</w:t>
      </w:r>
    </w:p>
    <w:p>
      <w:pPr>
        <w:spacing w:after="40" w:line="276" w:lineRule="auto"/>
        <w:jc w:val="both"/>
      </w:pPr>
      <w:r>
        <w:rPr>
          <w:rFonts w:ascii="Times New Roman" w:hAnsi="Times New Roman"/>
          <w:b w:val="0"/>
          <w:i/>
          <w:sz w:val="24"/>
        </w:rPr>
        <w:t>— Если доля отчуждена не продажей, а выходом Должника из Общества с выплатой (или без выплаты) действительной стоимости — используйте образец об оспаривании выхода участника (абзац второй п. 2 ст. 61.2 Закона о банкротстве).</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