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купли-продажи [квартиры / жилого дома и земельного участка / нежилого помещения]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Должнику на праве собственности принадлежал(а) [квартира / жилой дом с земельным участком / нежилое помещение] площадью [__] кв. м по адресу: [__], кадастровый номер [__] (далее — Объект), право зарегистрировано «[дата]» (запись № [__]). По договору купли-продажи от «[дата]» (далее — Договор) Должник продал Объект [Ф. И. О. ответчика] за [сумма] руб.; переход права зарегистрирован «[дата]» (выписка из ЕГРН о переходе прав, выписка о содержании правоустанавливающих документов — приложения). Кадастровая стоимость Объекта на дату сделки — [сумма] руб.</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одного года до принятия заявления о признании Должника банкротом, и подпадает под период, установленный пунктом 1 статьи 61.2 Закона о банкротстве (а также трёхлетний период пункта 2 той же статьи).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Неравноценность встречного исполнения</w:t>
      </w:r>
    </w:p>
    <w:p>
      <w:pPr>
        <w:spacing w:after="120" w:line="276" w:lineRule="auto"/>
        <w:ind w:firstLine="709"/>
        <w:jc w:val="both"/>
      </w:pPr>
      <w:r>
        <w:rPr>
          <w:rFonts w:ascii="Times New Roman" w:hAnsi="Times New Roman"/>
          <w:b w:val="0"/>
          <w:i w:val="0"/>
          <w:sz w:val="24"/>
        </w:rPr>
        <w:t>Цена Договора ([сумма] руб.) в [__] раза ниже рыночной стоимости Объекта, составлявшей на дату сделки [сумма] руб. (отчёт об оценке от «[дата]» № [__] / справка о рыночной стоимости / сведения о ценах предложения аналогичных объектов в том же доме (районе) — приложения), и в [__] раза ниже кадастровой стоимости ([сумма] руб.). Объект не имел обременений и недостатков, способных объяснить такую цену [не находился в залоге, не был аварийным, продан без долгов по коммунальным платежам].</w:t>
      </w:r>
    </w:p>
    <w:p>
      <w:pPr>
        <w:spacing w:after="120" w:line="276" w:lineRule="auto"/>
        <w:ind w:firstLine="709"/>
        <w:jc w:val="both"/>
      </w:pPr>
      <w:r>
        <w:rPr>
          <w:rFonts w:ascii="Times New Roman" w:hAnsi="Times New Roman"/>
          <w:b w:val="0"/>
          <w:i w:val="0"/>
          <w:sz w:val="24"/>
        </w:rPr>
        <w:t>Доказательства получения Должником даже этой цены отсутствуют: расчёт по Договору «произведён до его подписания» без указания способа; на счета Должника в [банки] в период с «[дата]» по «[дата]» денежные средства не поступали (выписки прилагаются); расписка ответчиком не представлена, а его доходы за [год] ([справка о доходах]) не позволяли располагать такой суммой наличными. Следовательно, встречное исполнение не только неравноценно, но фактически отсутствует.</w:t>
      </w:r>
    </w:p>
    <w:p>
      <w:pPr>
        <w:spacing w:after="120" w:line="276" w:lineRule="auto"/>
        <w:jc w:val="center"/>
      </w:pPr>
      <w:r>
        <w:rPr>
          <w:rFonts w:ascii="Times New Roman" w:hAnsi="Times New Roman"/>
          <w:b/>
          <w:i w:val="0"/>
          <w:sz w:val="24"/>
        </w:rPr>
        <w:t>IV. Добросовестность покупателя не имеет значения для пункта 1 статьи 61.2</w:t>
      </w:r>
    </w:p>
    <w:p>
      <w:pPr>
        <w:spacing w:after="120" w:line="276" w:lineRule="auto"/>
        <w:ind w:firstLine="709"/>
        <w:jc w:val="both"/>
      </w:pPr>
      <w:r>
        <w:rPr>
          <w:rFonts w:ascii="Times New Roman" w:hAnsi="Times New Roman"/>
          <w:b w:val="0"/>
          <w:i w:val="0"/>
          <w:sz w:val="24"/>
        </w:rPr>
        <w:t>Ответчик не является заинтересованным по отношению к Должнику лицом (статья 19 Закона о банкротстве) [родственные и корпоративные связи не установлены]. Это не препятствует оспариванию сделки: для пункта 1 статьи 61.2 Закона о банкротстве осведомлённость другой стороны о финансовом состоянии Должника и о цели сделки юридически безразлична — достаточно объективного несоответствия встречного исполнения (пункт 9 Постановления № 63). Покупатель, приобретающий недвижимость в [__] раза дешевле рыночной и кадастровой стоимости, в любом случае не может считаться не знавшим о нерыночном характере сделки.</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Пунктом 8 Постановления № 63 разъяснено: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На основании пункта 1 статьи 61.2 Закона о банкротстве может быть оспорена также сделка, условия которой формально предусматривают равноценное встречное исполнение, однако должнику на момент ее заключения было известно, что у контрагента по сделке нет и не будет имущества, достаточного для осуществления им встречного исполнения.» Согласно пункту 9 Постановления №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w:t>
      </w:r>
    </w:p>
    <w:p>
      <w:pPr>
        <w:spacing w:after="120" w:line="276" w:lineRule="auto"/>
        <w:ind w:firstLine="709"/>
        <w:jc w:val="both"/>
      </w:pPr>
      <w:r>
        <w:rPr>
          <w:rFonts w:ascii="Times New Roman" w:hAnsi="Times New Roman"/>
          <w:b w:val="0"/>
          <w:i w:val="0"/>
          <w:sz w:val="24"/>
        </w:rPr>
        <w:t>По сложившейся практике существенным признаётся отклонение цены от рыночной в два и более раза; при меньшем, но заметном отклонении суд оценивает его в совокупности с иными обстоятельствами (аффилированность, отсутствие оплаты, сохранение контроля) (определения Верховного Суда Российской Федерации от 23.08.2018 № 301-ЭС17-7613(3), от 05.05.2022 № 306-ЭС21-4742).</w:t>
      </w:r>
    </w:p>
    <w:p>
      <w:pPr>
        <w:spacing w:after="120" w:line="276" w:lineRule="auto"/>
        <w:ind w:firstLine="709"/>
        <w:jc w:val="both"/>
      </w:pPr>
      <w:r>
        <w:rPr>
          <w:rFonts w:ascii="Times New Roman" w:hAnsi="Times New Roman"/>
          <w:b w:val="0"/>
          <w:i w:val="0"/>
          <w:sz w:val="24"/>
        </w:rPr>
        <w:t>Многократное занижение цены относительно рыночной и кадастровой стоимости при отсутствии доказательств оплаты означает неравноценное встречное исполнение; для признания сделки недействительной по пункту 1 статьи 61.2 Закона о банкротстве недобросовестность покупателя доказывать не требуется (пункт 9 Постановления № 63).</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Вред кредиторам состоит в выбытии из конкурсной массы актива стоимостью [сумма] руб. за [сумма] руб.: разница в [сумма] руб. могла быть направлена на погашение требований кредиторов ([сумма] руб.). Заявитель сознательно ограничивает основание пунктом 1 статьи 61.2 Закона о банкротстве: сделка совершена в годичный период, и доказывание цели причинения вреда и осведомлённости покупателя не требуется.</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право на Объект зарегистрировано за ответчиком, который вправе отчудить или обременить его в любой момент, что сделает возврат в натуре невозможным и потребует взыскания стоимости с лица, не имеющего иного имущества. Испрашиваемая мера в виде запрета Управлению Росреестра по [субъект] совершать регистрационные действия в отношении Объекта (кадастровый номер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любые регистрационные действия в отношении [наименование Объекта] с кадастровым номером [__] по адресу: [__],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от «[дата]», заключённый между [Ф. И. О. Должника] и [Ф. И. О. ответчика] в отношении [наименование Объекта] с кадастровым номером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[наименование Объекта] с кадастровым номером [__] в конкурсную массу [Ф. И. О. Должника]; указать, что определение является основанием для внесения в ЕГРН записи о праве собственности [Ф. И. О. Должника] на Объект [при невозможности возврата в натуре — взыскать с ответчика действительную стоимость Объекта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из ЕГРН: об основных характеристиках Объекта, о переходе прав, о содержании правоустанавливающих документов; копия Договора.</w:t>
      </w:r>
    </w:p>
    <w:p>
      <w:pPr>
        <w:spacing w:after="40" w:line="276" w:lineRule="auto"/>
        <w:jc w:val="left"/>
      </w:pPr>
      <w:r>
        <w:rPr>
          <w:rFonts w:ascii="Times New Roman" w:hAnsi="Times New Roman"/>
          <w:b w:val="0"/>
          <w:i w:val="0"/>
          <w:sz w:val="24"/>
        </w:rPr>
        <w:t>4. Отчёт об оценке рыночной стоимости Объекта на дату сделки [или подборка объявлений о продаже аналогов]; сведения о кадастровой стоимости.</w:t>
      </w:r>
    </w:p>
    <w:p>
      <w:pPr>
        <w:spacing w:after="40" w:line="276" w:lineRule="auto"/>
        <w:jc w:val="left"/>
      </w:pPr>
      <w:r>
        <w:rPr>
          <w:rFonts w:ascii="Times New Roman" w:hAnsi="Times New Roman"/>
          <w:b w:val="0"/>
          <w:i w:val="0"/>
          <w:sz w:val="24"/>
        </w:rPr>
        <w:t>5. Выписки по всем счетам Должника за период сделки (отсутствие поступления цены); сведения о доходах ответчика [если получены].</w:t>
      </w:r>
    </w:p>
    <w:p>
      <w:pPr>
        <w:spacing w:after="40" w:line="276" w:lineRule="auto"/>
        <w:jc w:val="left"/>
      </w:pPr>
      <w:r>
        <w:rPr>
          <w:rFonts w:ascii="Times New Roman" w:hAnsi="Times New Roman"/>
          <w:b w:val="0"/>
          <w:i w:val="0"/>
          <w:sz w:val="24"/>
        </w:rPr>
        <w:t>6. Доказательства заинтересованности ответчика и сохранения Объекта в пользовании Должника [сведения ЗАГС, адресная справка, акты осмотра, квитанции ЖКУ на имя Должника].</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Шаблон построен только на п. 1 ст. 61.2 (неравноценность) — для сделки в годичный период с покупателем, не связанным с должником. Если покупатель — родственник или аффилированное лицо либо сделка старше года, используйте комплексный образец (п. 1 и п. 2 ст. 61.2, ст. 10, 168 ГК РФ) или образец по п. 2 ст. 61.2.</w:t>
      </w:r>
    </w:p>
    <w:p>
      <w:pPr>
        <w:spacing w:after="40" w:line="276" w:lineRule="auto"/>
        <w:jc w:val="both"/>
      </w:pPr>
      <w:r>
        <w:rPr>
          <w:rFonts w:ascii="Times New Roman" w:hAnsi="Times New Roman"/>
          <w:b w:val="0"/>
          <w:i/>
          <w:sz w:val="24"/>
        </w:rPr>
        <w:t>— Если Объект уже перепродан ответчиком, требуйте взыскания действительной стоимости (п. 1 ст. 61.6) и оцените виндикацию к конечному приобретателю (ст. 301, 302 ГК РФ, п. 16 Постановления № 63) — особенно если он получил Объект безвозмездно или по цепочке аффилированных лиц.</w:t>
      </w:r>
    </w:p>
    <w:p>
      <w:pPr>
        <w:spacing w:after="40" w:line="276" w:lineRule="auto"/>
        <w:jc w:val="both"/>
      </w:pPr>
      <w:r>
        <w:rPr>
          <w:rFonts w:ascii="Times New Roman" w:hAnsi="Times New Roman"/>
          <w:b w:val="0"/>
          <w:i/>
          <w:sz w:val="24"/>
        </w:rPr>
        <w:t>— Для возврата недвижимости в резолютивной части просите указать, что определение — основание для внесения записи в ЕГРН: это избавит от отдельного обращения в Росреестр.</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