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[+ 15 000 руб. за ходатайство об обеспечительных мерах: подп. 17 п. 1 ст. 333.21 НК РФ с учётом подп. 9 п. 1]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купли-продажи [оборудования / транспортных средств / спецтехники]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По договору купли-продажи от «[дата]» № [__] (далее — Договор) Должник продал [наименование ответчика] [перечень: станок [марка], инв. № [__]; автомобиль [марка], VIN [__]; …] (далее — Имущество) общей стоимостью [сумма] руб. Имущество передано по акту от «[дата]»; [транспортные средства перерегистрированы на ответчика «[дата]»]. Балансовая (остаточная) стоимость Имущества на дату сделки — [сумма] руб., рыночная стоимость по отчёту об оценке от «[дата]» № [__] — [сумма] руб. Оплата по Договору [поступила частично — [сумма] руб. / произведена зачётом встречных требований, реальность которых не подтверждена / не поступала].</w:t>
      </w:r>
    </w:p>
    <w:p>
      <w:pPr>
        <w:spacing w:after="120" w:line="276" w:lineRule="auto"/>
        <w:ind w:firstLine="709"/>
        <w:jc w:val="both"/>
      </w:pPr>
      <w:r>
        <w:rPr>
          <w:rFonts w:ascii="Times New Roman" w:hAnsi="Times New Roman"/>
          <w:b w:val="0"/>
          <w:i w:val="0"/>
          <w:sz w:val="24"/>
        </w:rPr>
        <w:t>[Имущество являлось основными производственными активами Должника; после его продажи хозяйственная деятельность Должника прекратилась, а ответчик продолжил ту же деятельность на тех же площадях с теми же работниками.]</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одного года до принятия заявления о признании Должника банкротом, и подпадает под период, установленный пунктом 1 статьи 61.2 Закона о банкротстве (а также трёхлетний период пункта 2 той же статьи).</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Неравноценность встречного исполнения</w:t>
      </w:r>
    </w:p>
    <w:p>
      <w:pPr>
        <w:spacing w:after="120" w:line="276" w:lineRule="auto"/>
        <w:ind w:firstLine="709"/>
        <w:jc w:val="both"/>
      </w:pPr>
      <w:r>
        <w:rPr>
          <w:rFonts w:ascii="Times New Roman" w:hAnsi="Times New Roman"/>
          <w:b w:val="0"/>
          <w:i w:val="0"/>
          <w:sz w:val="24"/>
        </w:rPr>
        <w:t>Цена Договора ниже рыночной стоимости Имущества в [__] раза и ниже даже его остаточной балансовой стоимости. Отчёт об оценке выполнен [наименование оценщика] с осмотром аналогов и учётом технического состояния; стоимость аналогичного оборудования по данным открытых источников на дату сделки — [сумма] руб. Разумных экономических причин продажи ниже балансовой стоимости (срочная потребность в деньгах, неисправность, утрата спроса) не имелось: [обоснование]. Пунктом 8 Постановления № 63 предусмотрено сравнение условий сделки как со сделками самого Должника, так и иных участников оборота; Должник ранее реализовывал аналогичное имущество по ценам [сумма] руб. (договоры от «[дата]» — приложения).</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1 статьи 61.2 Закона о банкротстве.</w:t>
      </w:r>
      <w:r>
        <w:rPr>
          <w:rFonts w:ascii="Times New Roman" w:hAnsi="Times New Roman"/>
          <w:b w:val="0"/>
          <w:i w:val="0"/>
          <w:sz w:val="24"/>
        </w:rPr>
        <w:t xml:space="preserve"> Пунктом 1 статьи 61.2 Закона о банкротстве установлено: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line="276" w:lineRule="auto"/>
        <w:ind w:firstLine="709"/>
        <w:jc w:val="both"/>
      </w:pPr>
      <w:r>
        <w:rPr>
          <w:rFonts w:ascii="Times New Roman" w:hAnsi="Times New Roman"/>
          <w:b w:val="0"/>
          <w:i w:val="0"/>
          <w:sz w:val="24"/>
        </w:rPr>
        <w:t>Пунктом 8 Постановления № 63 разъяснено: «Для признания сделки недействительной на основании указанной нормы не требуется, чтобы она уже была исполнена обеими или одной из сторон сделки, поэтому неравноценность встречного исполнения обязательств может устанавливаться исходя из условий сделки. В соответствии с абзацем первым пункта 1 статьи 61.2 Закона о банкротстве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При сравнении условий сделки с аналогичными сделками следует учитывать как условия аналогичных сделок, совершавшихся должником, так и условия, на которых аналогичные сделки совершались иными участниками оборота. На основании пункта 1 статьи 61.2 Закона о банкротстве может быть оспорена также сделка, условия которой формально предусматривают равноценное встречное исполнение, однако должнику на момент ее заключения было известно, что у контрагента по сделке нет и не будет имущества, достаточного для осуществления им встречного исполнения.» Согласно пункту 9 Постановления № 63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пунктом 2 данной статьи (в частности, недобросовестности контрагента), не требуется. Судом в случае оспаривания подозрительной сделки проверяется наличие обоих оснований, установленных как пунктом 1, так и пунктом 2 статьи 61.2 Закона о банкротстве.»</w:t>
      </w:r>
    </w:p>
    <w:p>
      <w:pPr>
        <w:spacing w:after="120" w:line="276" w:lineRule="auto"/>
        <w:ind w:firstLine="709"/>
        <w:jc w:val="both"/>
      </w:pPr>
      <w:r>
        <w:rPr>
          <w:rFonts w:ascii="Times New Roman" w:hAnsi="Times New Roman"/>
          <w:b w:val="0"/>
          <w:i w:val="0"/>
          <w:sz w:val="24"/>
        </w:rPr>
        <w:t>По сложившейся практике существенным признаётся отклонение цены от рыночной в два и более раза; при меньшем, но заметном отклонении суд оценивает его в совокупности с иными обстоятельствами (аффилированность, отсутствие оплаты, сохранение контроля) (определения Верховного Суда Российской Федерации от 23.08.2018 № 301-ЭС17-7613(3), от 05.05.2022 № 306-ЭС21-4742).</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В результате сделки Должник лишился производственных активов стоимостью [сумма] руб., получив [сумма] руб. [или не получив ничего]; стоимость переданного превышает двадцать процентов балансовой стоимости активов Должника на последнюю отчётную дату ([сумма] руб. из [сумма] руб.), что образует самостоятельную презумпцию цели причинения вреда (абзац третий пункта 2 статьи 61.2 Закона о банкротстве).</w:t>
      </w:r>
    </w:p>
    <w:p>
      <w:pPr>
        <w:spacing w:after="120" w:line="276" w:lineRule="auto"/>
        <w:ind w:firstLine="709"/>
        <w:jc w:val="both"/>
      </w:pPr>
      <w:r>
        <w:rPr>
          <w:rFonts w:ascii="Times New Roman" w:hAnsi="Times New Roman"/>
          <w:b/>
          <w:i w:val="0"/>
          <w:sz w:val="24"/>
        </w:rPr>
        <w:t>Отсутствие оснований для отказа по статье 61.7 Закона о банкротстве.</w:t>
      </w:r>
      <w:r>
        <w:rPr>
          <w:rFonts w:ascii="Times New Roman" w:hAnsi="Times New Roman"/>
          <w:b w:val="0"/>
          <w:i w:val="0"/>
          <w:sz w:val="24"/>
        </w:rPr>
        <w:t xml:space="preserve"> Статьёй 61.7 Закона о банкротстве предусмотрено: «Арбитражный суд может отказать в признании сделки недействительной в случае, если стоимость имущества, приобретенного должником в результате оспариваемой сделки, превышает стоимость того, что может быть возвращено в конкурсную массу в результате оспаривания сделки, или если приобретатель по недействительной сделке вернул все исполненное в конкурсную массу.» Полученное Должником по Договору ([сумма] руб.) многократно меньше стоимости Имущества, поэтому основания для отказа в признании сделки недействительной отсутствуют. Пунктом 29.2 Постановления № 63 разъяснено: «В силу статьи 61.7 Закона о банкротстве арбитражный суд может отказать в признании сделки недействительной в случае, если приобретатель по оспариваемой сделке вернул все исполненное в конкурсную массу.»</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Имущество находится у ответчика [транспортные средства зарегистрированы за ним], поэтому подлежит возврату в конкурсную массу в натуре; уплаченная ответчиком цена [сумма] руб. подлежит включению в его восстановленное требование к Должнику. [Если часть Имущества ответчиком перепродана — взыскать её действительную стоимость на момент приобретения — [сумма] руб.]</w:t>
      </w:r>
    </w:p>
    <w:p>
      <w:pPr>
        <w:spacing w:after="120" w:line="276" w:lineRule="auto"/>
        <w:ind w:firstLine="709"/>
        <w:jc w:val="both"/>
      </w:pPr>
      <w:r>
        <w:rPr>
          <w:rFonts w:ascii="Times New Roman" w:hAnsi="Times New Roman"/>
          <w:b w:val="0"/>
          <w:i w:val="0"/>
          <w:sz w:val="24"/>
        </w:rPr>
        <w:t>Пунктом 3 статьи 61.6 Закона о банкротстве установлено: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Пунктом 27 Постановления № 63 разъяснено: «В случае, когда упомянутая в пункте 25 настоящего Постановления сделка была признана недействительной на основании пункта 1 статьи 61.2 или пункта 2 статьи 61.3 Закона о банкротстве, восстановленное требование подлежит включению в реестр требований кредиторов и удовлетворению в составе требований третьей очереди (пункт 3 статьи 61.6 Закона о банкротстве); такое требование может быть предъявлено должнику в порядке, предусмотренном статьей 100 Закона о банкротстве, в ходе внешнего управления или конкурсного производства.»</w:t>
      </w:r>
    </w:p>
    <w:p>
      <w:pPr>
        <w:spacing w:after="120" w:line="276" w:lineRule="auto"/>
        <w:ind w:firstLine="709"/>
        <w:jc w:val="both"/>
      </w:pPr>
      <w:r>
        <w:rPr>
          <w:rFonts w:ascii="Times New Roman" w:hAnsi="Times New Roman"/>
          <w:b w:val="0"/>
          <w:i w:val="0"/>
          <w:sz w:val="24"/>
        </w:rPr>
        <w:t>Пунктом 16 Постановления № 63 разъяснено: «Если же право на вещь, отчужденную должником по сделке, после совершения этой сделки было передано другой стороной сделки иному лицу по следующей сделке (например, по договору купли-продажи), то заявление об оспаривании первой сделки предъявляется по правилам статьи 61.8 Закона о банкротстве к другой ее стороне. Если первая сделка будет признана недействительной, должник вправе истребовать спорную вещь у ее второго приобретателя только посредством предъявления к нему виндикационного иска вне рамок дела о банкротстве по правилам статей 301 и 302 ГК РФ. В случае подсудности виндикационного иска тому же суду, который рассматривает дело о банкротстве, оспаривающее сделку лицо вправе по правилам статьи 130 АПК РФ соединить в одном заявлении, подаваемом в рамках дела о банкротстве, требования о признании сделки недействительной и о виндикации переданной по ней вещи; также возбужденное вне рамок дела о банкротстве тем же судом дело по иску о виндикации может быть объединено судом с рассмотрением заявления об оспаривании сделки - их объединенное рассмотрение осуществляется в рамках дела о банкротстве.»</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оборудование и транспорт легко отчуждаются и перемещаются; ответчик аффилирован с бывшим руководством Должника и заинтересован в сокрытии активов. Испрашиваемая мера в виде запрета ответчику отчуждать, обременять и перемещать Имущество, а Госавтоинспекции [и Гостехнадзору] — совершать регистрационные действия в отношении транспортных средств (спецтехники), входящих в состав Имущества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 За ходатайство об обеспечительных мерах пошлина составляет 15 000 руб. (подп. 17 п. 1 ст. 333.21 НК РФ — 30 000 руб. — с учётом подп. 9 п. 1 той же статьи).</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Гражданского кодекса Российской Федерации, статьями 2, 19, 61.1, 61.2, 61.6, 61.7, 61.8, 61.9, 129 Федерального закона «О несостоятельности (банкротстве)», статьями 65, 90, 91, 92,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[наименование ответчика] отчуждать, передавать в залог, аренду и иным образом распоряжаться [перечень Имущества]; запретить [Госавтоинспекция / Гостехнадзор по субъекту] совершать регистрационные действия в отношении [транспортные средства, VIN]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купли-продажи от «[дата]» № [__], заключённый между [наименование Должника] и [наименование ответчика].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[наименование ответчика] возвратить в конкурсную массу [наименование Должника] [перечень Имущества]; при невозможности возврата в натуре — взыскать с ответчика действительную стоимость Имущества на момент его приобретения в размере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Договора, актов приёма-передачи, счетов-фактур; инвентарные карточки и данные бухгалтерского учёта об остаточной стоимости Имущества.</w:t>
      </w:r>
    </w:p>
    <w:p>
      <w:pPr>
        <w:spacing w:after="40" w:line="276" w:lineRule="auto"/>
        <w:jc w:val="left"/>
      </w:pPr>
      <w:r>
        <w:rPr>
          <w:rFonts w:ascii="Times New Roman" w:hAnsi="Times New Roman"/>
          <w:b w:val="0"/>
          <w:i w:val="0"/>
          <w:sz w:val="24"/>
        </w:rPr>
        <w:t>4. Отчёт об оценке рыночной стоимости Имущества; сведения о ценах аналогов; договоры Должника о продаже аналогичного имущества по рыночным ценам.</w:t>
      </w:r>
    </w:p>
    <w:p>
      <w:pPr>
        <w:spacing w:after="40" w:line="276" w:lineRule="auto"/>
        <w:jc w:val="left"/>
      </w:pPr>
      <w:r>
        <w:rPr>
          <w:rFonts w:ascii="Times New Roman" w:hAnsi="Times New Roman"/>
          <w:b w:val="0"/>
          <w:i w:val="0"/>
          <w:sz w:val="24"/>
        </w:rPr>
        <w:t>5. Бухгалтерский баланс Должника на последнюю отчётную дату перед сделкой (для расчёта 20 % активов); выписки по счетам (оплата).</w:t>
      </w:r>
    </w:p>
    <w:p>
      <w:pPr>
        <w:spacing w:after="40" w:line="276" w:lineRule="auto"/>
        <w:jc w:val="left"/>
      </w:pPr>
      <w:r>
        <w:rPr>
          <w:rFonts w:ascii="Times New Roman" w:hAnsi="Times New Roman"/>
          <w:b w:val="0"/>
          <w:i w:val="0"/>
          <w:sz w:val="24"/>
        </w:rPr>
        <w:t>6. Сведения ГИБДД (Гостехнадзора) о регистрации транспортных средств; доказательства аффилированности сторон.</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Отчёт об оценке — главное доказательство; при споре о цене суд назначит экспертизу, поэтому в заявлении сразу предложите кандидатуры экспертов и внесите средства на депозит либо укажите, что готовы это сделать.</w:t>
      </w:r>
    </w:p>
    <w:p>
      <w:pPr>
        <w:spacing w:after="40" w:line="276" w:lineRule="auto"/>
        <w:jc w:val="both"/>
      </w:pPr>
      <w:r>
        <w:rPr>
          <w:rFonts w:ascii="Times New Roman" w:hAnsi="Times New Roman"/>
          <w:b w:val="0"/>
          <w:i/>
          <w:sz w:val="24"/>
        </w:rPr>
        <w:t>— Если имущество продано на торгах либо передано в составе предприятия — проверьте п. 1 ст. 61.4 (сделки на организованных торгах не оспариваются по п. 1 ст. 61.2 и ст. 61.3).</w:t>
      </w:r>
    </w:p>
    <w:p>
      <w:pPr>
        <w:spacing w:after="40" w:line="276" w:lineRule="auto"/>
        <w:jc w:val="both"/>
      </w:pPr>
      <w:r>
        <w:rPr>
          <w:rFonts w:ascii="Times New Roman" w:hAnsi="Times New Roman"/>
          <w:b w:val="0"/>
          <w:i/>
          <w:sz w:val="24"/>
        </w:rPr>
        <w:t>— При переводе бизнеса на новое лицо (те же работники, адрес, контрагенты) используйте дополнительно образец об оспаривании перевода бизнеса и рассмотрите субсидиарную ответственность контролирующих лиц.</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