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соглашения об отступном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По договору займа от «[дата]» [Ф. И. О. ответчика] (далее — Кредитор) предоставил Должнику [сумма] руб. [под [__] % в месяц] со сроком возврата «[дата]». «[дата]» Должник и Кредитор заключили соглашение об отступном (далее — Соглашение), по которому в счёт погашения долга по займу в размере [сумма] руб. (включая проценты и неустойку) Должник передал Кредитору [жилой дом площадью [__] кв. м и земельный участок площадью [__] кв. м по адресу: [__], кадастровые номера [__] / автомобиль / нежилое помещение] (далее — Имущество); переход права зарегистрирован «[дата]». Кадастровая стоимость Имущества — [сумма] руб., рыночная стоимость по отчёту об оценке — [сумма] руб. Статьёй 409 ГК РФ установлено: «По соглашению сторон обязательство может быть прекращено предоставлением отступного - уплатой денежных средств или передачей иного имущества.»</w:t>
      </w:r>
    </w:p>
    <w:p>
      <w:pPr>
        <w:spacing w:after="120" w:line="276" w:lineRule="auto"/>
        <w:ind w:firstLine="709"/>
        <w:jc w:val="both"/>
      </w:pPr>
      <w:r>
        <w:rPr>
          <w:rFonts w:ascii="Times New Roman" w:hAnsi="Times New Roman"/>
          <w:b w:val="0"/>
          <w:i w:val="0"/>
          <w:sz w:val="24"/>
        </w:rPr>
        <w:t>Соглашение заключено [в течение шести месяцев / одного месяца] до принятия заявления о признании Должника банкротом («[дата]») и одновременно в пределах годичного периода пункта 1 статьи 61.2 Закона о банкротстве.</w:t>
      </w:r>
    </w:p>
    <w:p>
      <w:pPr>
        <w:spacing w:after="120" w:line="276" w:lineRule="auto"/>
        <w:jc w:val="center"/>
      </w:pPr>
      <w:r>
        <w:rPr>
          <w:rFonts w:ascii="Times New Roman" w:hAnsi="Times New Roman"/>
          <w:b/>
          <w:i w:val="0"/>
          <w:sz w:val="24"/>
        </w:rPr>
        <w:t>II. Наличие иных кредиторов и неплатёжеспособность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jc w:val="center"/>
      </w:pPr>
      <w:r>
        <w:rPr>
          <w:rFonts w:ascii="Times New Roman" w:hAnsi="Times New Roman"/>
          <w:b/>
          <w:i w:val="0"/>
          <w:sz w:val="24"/>
        </w:rPr>
        <w:t>III. Предпочтение</w:t>
      </w:r>
    </w:p>
    <w:p>
      <w:pPr>
        <w:spacing w:after="120" w:line="276" w:lineRule="auto"/>
        <w:ind w:firstLine="709"/>
        <w:jc w:val="both"/>
      </w:pPr>
      <w:r>
        <w:rPr>
          <w:rFonts w:ascii="Times New Roman" w:hAnsi="Times New Roman"/>
          <w:b w:val="0"/>
          <w:i w:val="0"/>
          <w:sz w:val="24"/>
        </w:rPr>
        <w:t>Передачей Имущества Кредитор получил полное удовлетворение требования из займа вне процедуры банкротства, тогда как иные кредиторы Должника с ранее наступившими сроками исполнения ([перечень]) не получили ничего. При расчётах в порядке очерёдности требование Кредитора подлежало бы включению в третью очередь реестра и удовлетворению пропорционально ([__] %). Кроме того, Соглашением погашены [проценты и неустойка] на [сумма] руб., которые в деле о банкротстве удовлетворяются после основного долга кредиторов третьей очереди (пункт 3 статьи 137 Закона о банкротстве), — изменена очерёдность удовлетворения (абзац третий пункта 1 статьи 61.3).</w:t>
      </w:r>
    </w:p>
    <w:p>
      <w:pPr>
        <w:spacing w:after="120" w:line="276" w:lineRule="auto"/>
        <w:jc w:val="center"/>
      </w:pPr>
      <w:r>
        <w:rPr>
          <w:rFonts w:ascii="Times New Roman" w:hAnsi="Times New Roman"/>
          <w:b/>
          <w:i w:val="0"/>
          <w:sz w:val="24"/>
        </w:rPr>
        <w:t>IV. Неравноценность</w:t>
      </w:r>
    </w:p>
    <w:p>
      <w:pPr>
        <w:spacing w:after="120" w:line="276" w:lineRule="auto"/>
        <w:ind w:firstLine="709"/>
        <w:jc w:val="both"/>
      </w:pPr>
      <w:r>
        <w:rPr>
          <w:rFonts w:ascii="Times New Roman" w:hAnsi="Times New Roman"/>
          <w:b w:val="0"/>
          <w:i w:val="0"/>
          <w:sz w:val="24"/>
        </w:rPr>
        <w:t>Стоимость переданного Имущества ([сумма] руб.) превышает размер прекращённого обязательства ([сумма] руб.) в [__] раза. [Соглашением зачтён долг, реальность которого не подтверждена: деньги по займу на счета Должника не поступали, расписка составлена в день Соглашения.] Передача имущества по стоимости существенно выше погашаемого долга — неравноценное встречное исполнение (пункт 1 статьи 61.2 Закона о банкротстве).</w:t>
      </w:r>
    </w:p>
    <w:p>
      <w:pPr>
        <w:spacing w:after="120" w:line="276" w:lineRule="auto"/>
        <w:jc w:val="center"/>
      </w:pPr>
      <w:r>
        <w:rPr>
          <w:rFonts w:ascii="Times New Roman" w:hAnsi="Times New Roman"/>
          <w:b/>
          <w:i w:val="0"/>
          <w:sz w:val="24"/>
        </w:rPr>
        <w:t>V. Осведомлённость Кредитора</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ind w:firstLine="709"/>
        <w:jc w:val="both"/>
      </w:pPr>
      <w:r>
        <w:rPr>
          <w:rFonts w:ascii="Times New Roman" w:hAnsi="Times New Roman"/>
          <w:b w:val="0"/>
          <w:i w:val="0"/>
          <w:sz w:val="24"/>
        </w:rPr>
        <w:t>Кредитор знал о неплатёжеспособности Должника: само предоставление отступного вместо денег свидетельствует о невозможности Должника рассчитаться деньгами; [Кредитор ранее предъявлял иск о взыскании долга / получал письма Должника о невозможности платить / является заинтересованным лицом]. Пунктом 12 Постановления № 63 разъяснено: «При решении вопроса о том, должен ли был кредитор знать об указанных обстоятельствах, во внимание принимается то, насколько он мог, действуя разумно и проявляя требующуюся от него по условиям оборота осмотрительность, установить наличие этих обстоятельств. К числу фактов, свидетельствующих в пользу такого знания кредитора, могут с учетом всех обстоятельств дела относиться следующие: неоднократное обращение должника к кредитору с просьбой об отсрочке долга по причине невозможности уплаты его в изначально установленный срок; известное кредитору (кредитной организации) длительное наличие картотеки по банковскому счету должника (в том числе скрытой); осведомленность кредитора о том, что должник подал заявление о признании себя банкротом.»</w:t>
      </w:r>
    </w:p>
    <w:p>
      <w:pPr>
        <w:spacing w:after="120" w:line="276" w:lineRule="auto"/>
        <w:jc w:val="center"/>
      </w:pPr>
      <w:r>
        <w:rPr>
          <w:rFonts w:ascii="Times New Roman" w:hAnsi="Times New Roman"/>
          <w:b/>
          <w:i w:val="0"/>
          <w:sz w:val="24"/>
        </w:rPr>
        <w:t>VI. Правовое обоснование</w:t>
      </w:r>
    </w:p>
    <w:p>
      <w:pPr>
        <w:spacing w:after="120" w:line="276" w:lineRule="auto"/>
        <w:ind w:firstLine="709"/>
        <w:jc w:val="both"/>
      </w:pPr>
      <w:r>
        <w:rPr>
          <w:rFonts w:ascii="Times New Roman" w:hAnsi="Times New Roman"/>
          <w:b/>
          <w:i w:val="0"/>
          <w:sz w:val="24"/>
        </w:rPr>
        <w:t>Основание — статья 61.3 Закона о банкротстве.</w:t>
      </w:r>
      <w:r>
        <w:rPr>
          <w:rFonts w:ascii="Times New Roman" w:hAnsi="Times New Roman"/>
          <w:b w:val="0"/>
          <w:i w:val="0"/>
          <w:sz w:val="24"/>
        </w:rPr>
        <w:t xml:space="preserve"> Пунктом 1 статьи 61.3 Закона о банкротстве установлено: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 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w:t>
      </w:r>
    </w:p>
    <w:p>
      <w:pPr>
        <w:spacing w:after="120" w:line="276" w:lineRule="auto"/>
        <w:ind w:firstLine="709"/>
        <w:jc w:val="both"/>
      </w:pPr>
      <w:r>
        <w:rPr>
          <w:rFonts w:ascii="Times New Roman" w:hAnsi="Times New Roman"/>
          <w:b w:val="0"/>
          <w:i w:val="0"/>
          <w:sz w:val="24"/>
        </w:rPr>
        <w:t>Пунктом 3 статьи 61.3 Закона о банкротстве предусмотрено: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Предполагается, что заинтересованное лицо знало о признаке неплатежеспособности или недостаточности имущества, если не доказано обратное.» Пунктом 12 Постановления № 63 разъяснено: «Если сделка с предпочтением была совершена не ранее чем за шесть месяцев и не позднее чем за один месяц до принятия судом заявления о признании должника банкротом, то в силу пункта 3 статьи 61.3 Закона о банкротстве она может быть признана недействительной, только если: а) в наличии имеются условия, предусмотренные абзацами вторым или третьим пункта 1 статьи 61.3 Закона о банкротстве; б) или имеются иные условия, соответствующие требованиям пункта 1 статьи 61.3, и при этом оспаривающим сделку лицом доказано, что на момент совершения сделки кредитору или иному лицу, в отношении которого совершена такая сделка, было или должно было быть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При решении вопроса о том, должен ли был кредитор знать об указанных обстоятельствах, во внимание принимается то, насколько он мог, действуя разумно и проявляя требующуюся от него по условиям оборота осмотрительность, установить наличие этих обстоятельств. К числу фактов, свидетельствующих в пользу такого знания кредитора, могут с учетом всех обстоятельств дела относиться следующие: неоднократное обращение должника к кредитору с просьбой об отсрочке долга по причине невозможности уплаты его в изначально установленный срок; известное кредитору (кредитной организации) длительное наличие картотеки по банковскому счету должника (в том числе скрытой); осведомленность кредитора о том, что должник подал заявление о признании себя банкротом.»</w:t>
      </w:r>
    </w:p>
    <w:p>
      <w:pPr>
        <w:spacing w:after="120" w:line="276" w:lineRule="auto"/>
        <w:ind w:firstLine="709"/>
        <w:jc w:val="both"/>
      </w:pPr>
      <w:r>
        <w:rPr>
          <w:rFonts w:ascii="Times New Roman" w:hAnsi="Times New Roman"/>
          <w:b w:val="0"/>
          <w:i w:val="0"/>
          <w:sz w:val="24"/>
        </w:rPr>
        <w:t>Согласно пункту 10 Постановления № 63 «Применяя перечень условий, когда имеет место оказание предпочтения одному из кредиторов перед другими кредиторами, приведенный в абзацах втором - пятом пункта 1 указанной статьи, судам следует иметь в виду, что для признания наличия такого предпочтения достаточно хотя бы одного из этих условий. Бремя доказывания того, что сделка влечет или может повлечь за собой оказание предпочтения, лежит на оспаривающем ее лице.»</w:t>
      </w:r>
    </w:p>
    <w:p>
      <w:pPr>
        <w:spacing w:after="120" w:line="276" w:lineRule="auto"/>
        <w:ind w:firstLine="709"/>
        <w:jc w:val="both"/>
      </w:pPr>
      <w:r>
        <w:rPr>
          <w:rFonts w:ascii="Times New Roman" w:hAnsi="Times New Roman"/>
          <w:b w:val="0"/>
          <w:i w:val="0"/>
          <w:sz w:val="24"/>
        </w:rPr>
        <w:t>Соглашение отвечает признакам сделки с предпочтением, совершённой в шестимесячный период при осведомлённости Кредитора (пункт 3 статьи 61.3 Закона о банкротстве, пункт 12 Постановления № 63) [либо в месячный период — пункт 2 статьи 61.3]. Пунктом 14 Постановления № 63 предоставление отступного прямо исключено из сделок обычной хозяйственной деятельности: «При определении того, была ли сделка совершена в процессе обычной хозяйственной деятельности должника, следует учитывать, что таковой является сделка, не отличающаяся существенно по своим основным условиям от аналогичных сделок, неоднократно совершавшихся до этого должником в течение продолжительного периода времени. К таким сделкам, в частности, с учетом всех обстоятельств дела могут быть отнесены платежи по длящимся обязательствам (возврат очередной части кредита в соответствии с графиком, уплата ежемесячной арендной платы, выплата заработной платы, оплата коммунальных услуг, платежи за услуги сотовой связи и Интернет, уплата налогов и т.п.). Не могут быть, по общему правилу, отнесены к таким сделкам платеж со значительной просрочкой, предоставление отступного, а также не обоснованный разумными экономическими причинами досрочный возврат кредита.»</w:t>
      </w:r>
    </w:p>
    <w:p>
      <w:pPr>
        <w:spacing w:after="120" w:line="276" w:lineRule="auto"/>
        <w:ind w:firstLine="709"/>
        <w:jc w:val="both"/>
      </w:pPr>
      <w:r>
        <w:rPr>
          <w:rFonts w:ascii="Times New Roman" w:hAnsi="Times New Roman"/>
          <w:b/>
          <w:i w:val="0"/>
          <w:sz w:val="24"/>
        </w:rPr>
        <w:t>Основание — пункт 1 статьи 61.2 Закона о банкротстве.</w:t>
      </w:r>
      <w:r>
        <w:rPr>
          <w:rFonts w:ascii="Times New Roman" w:hAnsi="Times New Roman"/>
          <w:b w:val="0"/>
          <w:i w:val="0"/>
          <w:sz w:val="24"/>
        </w:rPr>
        <w:t xml:space="preserve"> Пунктом 1 статьи 61.2 Закона о банкротстве установлено: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pPr>
        <w:spacing w:after="120" w:line="276" w:lineRule="auto"/>
        <w:ind w:firstLine="709"/>
        <w:jc w:val="both"/>
      </w:pPr>
      <w:r>
        <w:rPr>
          <w:rFonts w:ascii="Times New Roman" w:hAnsi="Times New Roman"/>
          <w:b w:val="0"/>
          <w:i w:val="0"/>
          <w:sz w:val="24"/>
        </w:rPr>
        <w:t>Соглашение одновременно недействительно по пункту 1 статьи 61.2 Закона о банкротстве как сделка с неравноценным встречным исполнением: Должник передал Имущество стоимостью [сумма] руб. в погашение долга [сумма] руб. Согласно пункту 9.1 Постановления № 63 «Если исходя из доводов оспаривающего сделку лица и имеющихся в деле доказательств суд придет к выводу о наличии иного правового основания недействительности сделки, чем то, на которое ссылается истец (например, пункта 2 статьи 61.2 Закона о банкротстве вместо статьи 61.3, или наоборот), то на основании части 1 статьи 133 и части 1 статьи 168 Арбитражного процессуального кодекса Российской Федерации (далее - АПК РФ) суд должен самостоятельно определить характер спорного правоотношения, возникшего между сторонами, а также нормы права, подлежащие применению (дать правовую квалификацию), и признать сделку недействительной в соответствии с надлежащей нормой права.»</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[Кредитор — заинтересованное лицо, а Должник после передачи Имущества продолжает им пользоваться, что образует и состав пункта 2 статьи 61.2 Закона о банкротстве.]</w:t>
      </w:r>
    </w:p>
    <w:p>
      <w:pPr>
        <w:spacing w:after="120" w:line="276" w:lineRule="auto"/>
        <w:jc w:val="center"/>
      </w:pPr>
      <w:r>
        <w:rPr>
          <w:rFonts w:ascii="Times New Roman" w:hAnsi="Times New Roman"/>
          <w:b/>
          <w:i w:val="0"/>
          <w:sz w:val="24"/>
        </w:rPr>
        <w:t>VII.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Спорное имущество сохранилось у ответчика [право собственности зарегистрировано за ним — выписка из ЕГРН / автомобиль зарегистрирован за ним — сведения ГИБДД], поэтому подлежит возврату в конкурсную массу в натуре. На случай установления судом невозможности возврата заявитель просит взыскать действительную стоимость имущества на момент его приобретения — [сумма] руб. [отчёт об оценке / справка о рыночной стоимости].</w:t>
      </w:r>
    </w:p>
    <w:p>
      <w:pPr>
        <w:spacing w:after="120" w:line="276" w:lineRule="auto"/>
        <w:ind w:firstLine="709"/>
        <w:jc w:val="both"/>
      </w:pPr>
      <w:r>
        <w:rPr>
          <w:rFonts w:ascii="Times New Roman" w:hAnsi="Times New Roman"/>
          <w:b w:val="0"/>
          <w:i w:val="0"/>
          <w:sz w:val="24"/>
        </w:rPr>
        <w:t>Пунктом 4 статьи 61.6 Закона о банкротстве установлено: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требования кредитора по этому обязательству к должнику считается существовавшим независимо от совершения данной сделки.» Пунктом 25 Постановления № 63 разъяснено: «В связи с этим в случае признания на основании статей 61.2 или 61.3 Закона о банкротстве недействительными действий должника по уплате денег, передаче вещей или иному исполнению обязательства, а также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восстановленным с момента совершения недействительной сделки, а право требования кредитора по этому обязательству к должнику (далее - восстановленное требование) считается существовавшим независимо от совершения этой сделки (абзац первый пункта 4 статьи 61.6 Закона о банкротстве).»</w:t>
      </w:r>
    </w:p>
    <w:p>
      <w:pPr>
        <w:spacing w:after="120" w:line="276" w:lineRule="auto"/>
        <w:ind w:firstLine="709"/>
        <w:jc w:val="both"/>
      </w:pPr>
      <w:r>
        <w:rPr>
          <w:rFonts w:ascii="Times New Roman" w:hAnsi="Times New Roman"/>
          <w:b w:val="0"/>
          <w:i w:val="0"/>
          <w:sz w:val="24"/>
        </w:rPr>
        <w:t>Пунктом 26 Постановления № 63 разъяснено: «Указанные правила применяются также в случае признания недействительной сделки по предоставлению отступного, стоимость которого существенно превышает размер прекращавшегося требования, независимо от того, на основании статьи 61.2 или 61.3 Закона о банкротстве она была признана недействительной.» Следовательно, после возврата Имущества в конкурсную массу требование Кредитора из договора займа считается восстановленным и может быть включено в реестр в порядке статьи 100 Закона о банкротстве [в третью очередь / после третьей очереди].</w:t>
      </w:r>
    </w:p>
    <w:p>
      <w:pPr>
        <w:spacing w:after="120" w:line="276" w:lineRule="auto"/>
        <w:jc w:val="center"/>
      </w:pPr>
      <w:r>
        <w:rPr>
          <w:rFonts w:ascii="Times New Roman" w:hAnsi="Times New Roman"/>
          <w:b/>
          <w:i w:val="0"/>
          <w:sz w:val="24"/>
        </w:rPr>
        <w:t>IX.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Кредитор получил ликвидное имущество и, зная о споре, может его перепродать. Испрашиваемая мера в виде запрета Управлению Росреестра по [субъект] совершать регистрационные действия в отношении Имущества (кадастровые номера [__])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409 Гражданского кодекса Российской Федерации, статьями 2, 19, 61.1, 61.2, 61.3, 61.4, 61.6, 61.8, 137, 213.9,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регистрационные действия в отношении [Имущество, кадастровые номера]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соглашение об отступном от «[дата]», заключённое между [Ф. И. О. Должника] и [Ф. И. О. ответчика].</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обязать [Ф. И. О. ответчика] возвратить [Имущество, кадастровые номера] в конкурсную массу [Ф. И. О. Должника]; указать, что определение является основанием для внесения записей в ЕГРН; восстановить задолженность [Ф. И. О. Должника] перед [Ф. И. О. ответчика] по договору займа от «[дата]» в размере [сумма] руб.</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Копии договора займа, расписки, соглашения об отступном; выписки из ЕГРН об Имуществе и переходе прав.</w:t>
      </w:r>
    </w:p>
    <w:p>
      <w:pPr>
        <w:spacing w:after="40" w:line="276" w:lineRule="auto"/>
        <w:jc w:val="left"/>
      </w:pPr>
      <w:r>
        <w:rPr>
          <w:rFonts w:ascii="Times New Roman" w:hAnsi="Times New Roman"/>
          <w:b w:val="0"/>
          <w:i w:val="0"/>
          <w:sz w:val="24"/>
        </w:rPr>
        <w:t>4. Отчёт об оценке рыночной стоимости Имущества; сведения о кадастровой стоимости.</w:t>
      </w:r>
    </w:p>
    <w:p>
      <w:pPr>
        <w:spacing w:after="40" w:line="276" w:lineRule="auto"/>
        <w:jc w:val="left"/>
      </w:pPr>
      <w:r>
        <w:rPr>
          <w:rFonts w:ascii="Times New Roman" w:hAnsi="Times New Roman"/>
          <w:b w:val="0"/>
          <w:i w:val="0"/>
          <w:sz w:val="24"/>
        </w:rPr>
        <w:t>5. Доказательства наличия иных кредиторов на дату сделки и их требований (судебные акты, кредитные договоры, реестр).</w:t>
      </w:r>
    </w:p>
    <w:p>
      <w:pPr>
        <w:spacing w:after="40" w:line="276" w:lineRule="auto"/>
        <w:jc w:val="left"/>
      </w:pPr>
      <w:r>
        <w:rPr>
          <w:rFonts w:ascii="Times New Roman" w:hAnsi="Times New Roman"/>
          <w:b w:val="0"/>
          <w:i w:val="0"/>
          <w:sz w:val="24"/>
        </w:rPr>
        <w:t>6. Доказательства осведомлённости Кредитора (иск о взыскании, переписка, сведения о заинтересованности).</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Отступное — классическая сделка с предпочтением; осведомлённость кредитора доказывается самим фактом замены денег имуществом. Дополнительно заявляйте неравноценность (п. 1 ст. 61.2), если стоимость имущества выше долга.</w:t>
      </w:r>
    </w:p>
    <w:p>
      <w:pPr>
        <w:spacing w:after="40" w:line="276" w:lineRule="auto"/>
        <w:jc w:val="both"/>
      </w:pPr>
      <w:r>
        <w:rPr>
          <w:rFonts w:ascii="Times New Roman" w:hAnsi="Times New Roman"/>
          <w:b w:val="0"/>
          <w:i/>
          <w:sz w:val="24"/>
        </w:rPr>
        <w:t>— Проверьте реальность займа: если деньги фактически не передавались, ссылайтесь на безденежность (ст. 812 ГК РФ) и мнимость (ст. 170 ГК РФ) — тогда восстанавливать требование кредитора не придётся.</w:t>
      </w:r>
    </w:p>
    <w:p>
      <w:pPr>
        <w:spacing w:after="40" w:line="276" w:lineRule="auto"/>
        <w:jc w:val="both"/>
      </w:pPr>
      <w:r>
        <w:rPr>
          <w:rFonts w:ascii="Times New Roman" w:hAnsi="Times New Roman"/>
          <w:b w:val="0"/>
          <w:i/>
          <w:sz w:val="24"/>
        </w:rPr>
        <w:t>— Если кредитор — залогодержатель переданного имущества, применяйте п. 29.3 Постановления № 63: недействительна лишь часть сделки сверх того, что причиталось бы залоговому кредитору.</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40" w:line="276" w:lineRule="auto"/>
        <w:jc w:val="both"/>
      </w:pPr>
      <w:r>
        <w:rPr>
          <w:rFonts w:ascii="Times New Roman" w:hAnsi="Times New Roman"/>
          <w:b w:val="0"/>
          <w:i/>
          <w:sz w:val="24"/>
        </w:rPr>
        <w:t>— Единственное жильё: по п. 4 постановления Пленума ВС РФ от 25.12.2018 № 48 сделка по отчуждению жилого помещения не признаётся недействительной, если в нём продолжают проживать должник и его семья и при возврате оно будет защищено исполнительским иммунитетом (ст. 446 ГПК РФ). Проверьте, не является ли объект единственным жильём должника.</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