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финансовый управляющий должника</w:t>
      </w:r>
      <w:r>
        <w:rPr>
          <w:rFonts w:ascii="Times New Roman" w:hAnsi="Times New Roman"/>
          <w:b w:val="0"/>
          <w:i w:val="0"/>
          <w:sz w:val="24"/>
        </w:rPr>
        <w:br/>
        <w:t>[Ф. И. О. финансового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ответчика]</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[Ф. И. О. должника]</w:t>
      </w:r>
      <w:r>
        <w:rPr>
          <w:rFonts w:ascii="Times New Roman" w:hAnsi="Times New Roman"/>
          <w:b w:val="0"/>
          <w:i w:val="0"/>
          <w:sz w:val="24"/>
        </w:rPr>
        <w:br/>
        <w:t>дата и место рождения: [__________]</w:t>
      </w:r>
      <w:r>
        <w:rPr>
          <w:rFonts w:ascii="Times New Roman" w:hAnsi="Times New Roman"/>
          <w:b w:val="0"/>
          <w:i w:val="0"/>
          <w:sz w:val="24"/>
        </w:rPr>
        <w:br/>
        <w:t>ИНН [__________], СНИЛС [__________]</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7 500 руб. — за требование о признании сделки недействительной (подп. 2 п. 1 ст. 333.21 НК РФ: 15 000 руб. для физических лиц, с учётом подп. 9 п. 1 той же статьи — 50 %)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 соглашения об уплате алиментов в части, превышающей разумно достаточные потребности получателя, и применении последствий недействительности сделки</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(резолютивная часть объявлена «[дата]») по делу № А[__]-[_____]/20[__] [Ф. И. О.] (далее — Должник) признан(а) несостоятельным (банкротом), введена процедура реализации имущества гражданина, финансовым управляющим утверждён [Ф. И. О.] (далее — Финансовый управляющий). Заявление о признании Должника банкротом [подано кредитором [наименование] / самим Должником] «[дата]» и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 в том числе [кредитор] — [сумма] руб. (определение от «[дата]»), [уполномоченный орган] — [сумма] руб.</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213.32 Федерального закона от 26.10.2002 № 127-ФЗ «О несостоятельности (банкротстве)» (далее — Закон о банкротстве) установлено: «Заявление об оспаривании сделки должника-гражданина по основаниям, предусмотренным статьей 61.2 или 61.3 настоящего Федерального закона, может быть подано финансовым управляющим по своей инициативе либо по решению собрания кредиторов или комитета кредиторов, а также конкурсным кредитором или уполномоченным органом, если размер его кредиторской задолженности, включенной в реестр требований кредиторов, составляет более десяти процентов общего размера кредиторской задолженности, включенной в реестр требований кредиторов, не считая размера требований кредитора, в отношении которого сделка оспаривается, и его заинтересованных лиц.» Согласно пункту 2 той же статьи «Право на подачу заявления об оспаривании сделки должника-гражданина по указанным в статье 61.2 или 61.3 настоящего Федерального закона основаниям возникает с даты введения реструктуризации долгов гражданина.» Абзацем вторым пункта 7 статьи 213.9 Закона о банкротстве финансовому управляющему предоставлено право «подавать в арбитражный суд от имени гражданина заявления о признании недействительными сделок по основаниям, предусмотренным статьями 61.2 и 61.3 настоящего Федерального закона, а также сделок, совершенных с нарушением настоящего Федерального закона». Пунктом 3 статьи 213.32 Закона о банкротстве предусмотрено: «Заявление об оспаривании сделки должника-гражданина по указанным в статье 61.2 или 61.3 настоящего Федерального закона основаниям подается в арбитражный суд, рассматривающий дело о банкротстве гражданина, и подлежит рассмотрению в деле о банкротстве гражданина независимо от состава лиц, участвующих в данной сделке.»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w:t>
      </w:r>
    </w:p>
    <w:p>
      <w:pPr>
        <w:spacing w:after="120" w:line="276" w:lineRule="auto"/>
        <w:jc w:val="center"/>
      </w:pPr>
      <w:r>
        <w:rPr>
          <w:rFonts w:ascii="Times New Roman" w:hAnsi="Times New Roman"/>
          <w:b/>
          <w:i w:val="0"/>
          <w:sz w:val="24"/>
        </w:rPr>
        <w:t>I. Обстоятельства совершения сделки</w:t>
      </w:r>
    </w:p>
    <w:p>
      <w:pPr>
        <w:spacing w:after="120" w:line="276" w:lineRule="auto"/>
        <w:ind w:firstLine="709"/>
        <w:jc w:val="both"/>
      </w:pPr>
      <w:r>
        <w:rPr>
          <w:rFonts w:ascii="Times New Roman" w:hAnsi="Times New Roman"/>
          <w:b w:val="0"/>
          <w:i w:val="0"/>
          <w:sz w:val="24"/>
        </w:rPr>
        <w:t>«[дата]» Должник и [Ф. И. О. ответчика] — [бывшая супруга / супруга] Должника, действующая в интересах несовершеннолетних детей [Ф. И. О., год рождения], заключили нотариально удостоверенное соглашение об уплате алиментов (далее — Соглашение), по которому Должник обязался уплачивать на содержание [__] детей [сумма] руб. ежемесячно [либо [__] % дохода, но не менее [сумма] руб.] [и единовременно передать имущество [__]]. Статьёй 99 СК РФ установлено: «Соглашение об уплате алиментов (размере, условиях и порядке выплаты алиментов) заключается между лицом, обязанным уплачивать алименты, и их получателем, а при недееспособности лица, обязанного уплачивать алименты, и (или) получателя алиментов - между законными представителями этих лиц. Не полностью дееспособные лица заключают соглашение об уплате алиментов с согласия их законных представителей.» Пунктом 2 статьи 100 СК РФ предусмотрено: «Нотариально удостоверенное соглашение об уплате алиментов имеет силу исполнительного листа.» Пунктом 2 статьи 103 СК РФ установлено: «Размер алиментов, устанавливаемый по соглашению об уплате алиментов на несовершеннолетних детей, не может быть ниже размера алиментов, которые они могли бы получить при взыскании алиментов в судебном порядке (статья 81 настоящего Кодекса).»</w:t>
      </w:r>
    </w:p>
    <w:p>
      <w:pPr>
        <w:spacing w:after="120" w:line="276" w:lineRule="auto"/>
        <w:ind w:firstLine="709"/>
        <w:jc w:val="both"/>
      </w:pPr>
      <w:r>
        <w:rPr>
          <w:rFonts w:ascii="Times New Roman" w:hAnsi="Times New Roman"/>
          <w:b w:val="0"/>
          <w:i w:val="0"/>
          <w:sz w:val="24"/>
        </w:rPr>
        <w:t>Доход Должника на дату Соглашения составлял [сумма] руб. в месяц (справки 2-НДФЛ), то есть размер алиментов составил [__] % дохода при законном минимуме [__] % (статья 81 СК РФ). За период с «[дата]» по «[дата]» по Соглашению перечислено [сумма] руб. [в том числе в рамках исполнительного производства, где требование об алиментах удовлетворялось в первую очередь, а требования иных взыскателей не исполнялись]. Соглашение заключено [через [__] дней после предъявления иска кредитором / в период просрочки по кредитам]; до него алименты [не уплачивались / уплачивались добровольно в размере [сумма] руб.].</w:t>
      </w:r>
    </w:p>
    <w:p>
      <w:pPr>
        <w:spacing w:after="120" w:line="276" w:lineRule="auto"/>
        <w:ind w:firstLine="709"/>
        <w:jc w:val="both"/>
      </w:pPr>
      <w:r>
        <w:rPr>
          <w:rFonts w:ascii="Times New Roman" w:hAnsi="Times New Roman"/>
          <w:b/>
          <w:i w:val="0"/>
          <w:sz w:val="24"/>
        </w:rPr>
        <w:t>Период подозрительности.</w:t>
      </w:r>
      <w:r>
        <w:rPr>
          <w:rFonts w:ascii="Times New Roman" w:hAnsi="Times New Roman"/>
          <w:b w:val="0"/>
          <w:i w:val="0"/>
          <w:sz w:val="24"/>
        </w:rPr>
        <w:t xml:space="preserve"> Заявление о признании Должника банкротом принято к производству «[дата]». Оспариваемая сделка совершена «[дата]», то есть в течение трёх лет до принятия заявления о признании Должника банкротом, и подпадает под период, установленный пунктом 2 статьи 61.2 Закона о банкротстве.</w:t>
      </w:r>
    </w:p>
    <w:p>
      <w:pPr>
        <w:spacing w:after="120" w:line="276" w:lineRule="auto"/>
        <w:jc w:val="center"/>
      </w:pPr>
      <w:r>
        <w:rPr>
          <w:rFonts w:ascii="Times New Roman" w:hAnsi="Times New Roman"/>
          <w:b/>
          <w:i w:val="0"/>
          <w:sz w:val="24"/>
        </w:rPr>
        <w:t>II. Неисполненные обязательства Должника на дату сделки</w:t>
      </w:r>
    </w:p>
    <w:p>
      <w:pPr>
        <w:spacing w:after="120" w:line="276" w:lineRule="auto"/>
        <w:ind w:firstLine="709"/>
        <w:jc w:val="both"/>
      </w:pPr>
      <w:r>
        <w:rPr>
          <w:rFonts w:ascii="Times New Roman" w:hAnsi="Times New Roman"/>
          <w:b w:val="0"/>
          <w:i w:val="0"/>
          <w:sz w:val="24"/>
        </w:rPr>
        <w:t>На дату совершения сделки Должник имел неисполненные обязательства: перед [кредитор 1] по [кредитному договору от «[дата]» № [__]] — [сумма] руб. (просрочка с «[дата]», требование включено в реестр определением от «[дата]»); перед [кредитор 2] — [сумма] руб. (решение [суд] от «[дата]» по делу № [__]); перед уполномоченным органом — [сумма] руб. Платежи по этим обязательствам Должник прекратил «[дата]», то есть до совершения оспариваемой сделки; иного имущества, достаточного для расчётов, у Должника не было [финансовый анализ от «[дата]», опись имущества]. Таким образом, на дату сделки Должник отвечал признаку неплатёжеспособности, а в результате отчуждения [имущества] стал отвечать и признаку недостаточности имущества.</w:t>
      </w:r>
    </w:p>
    <w:p>
      <w:pPr>
        <w:spacing w:after="120" w:line="276" w:lineRule="auto"/>
        <w:jc w:val="center"/>
      </w:pPr>
      <w:r>
        <w:rPr>
          <w:rFonts w:ascii="Times New Roman" w:hAnsi="Times New Roman"/>
          <w:b/>
          <w:i w:val="0"/>
          <w:sz w:val="24"/>
        </w:rPr>
        <w:t>III. Вред кредиторам</w:t>
      </w:r>
    </w:p>
    <w:p>
      <w:pPr>
        <w:spacing w:after="120" w:line="276" w:lineRule="auto"/>
        <w:ind w:firstLine="709"/>
        <w:jc w:val="both"/>
      </w:pPr>
      <w:r>
        <w:rPr>
          <w:rFonts w:ascii="Times New Roman" w:hAnsi="Times New Roman"/>
          <w:b w:val="0"/>
          <w:i w:val="0"/>
          <w:sz w:val="24"/>
        </w:rPr>
        <w:t>Статьёй 2 Закона о банкротстве определено: «вред, причиненный имущественным правам кредиторов, -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либо бездействия, приводящие к полной или частичной утрате возможности кредиторов получить удовлетворение своих требований по обязательствам должника за счет его имущества; неплатежеспособность -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При этом недостаточность денежных средств предполагается, если не доказано иное; недостаточность имущества - превышение размера денежных обязательств и обязанностей по уплате обязательных платежей должника над стоимостью имущества (активов) должника».</w:t>
      </w:r>
    </w:p>
    <w:p>
      <w:pPr>
        <w:spacing w:after="120" w:line="276" w:lineRule="auto"/>
        <w:ind w:firstLine="709"/>
        <w:jc w:val="both"/>
      </w:pPr>
      <w:r>
        <w:rPr>
          <w:rFonts w:ascii="Times New Roman" w:hAnsi="Times New Roman"/>
          <w:b w:val="0"/>
          <w:i w:val="0"/>
          <w:sz w:val="24"/>
        </w:rPr>
        <w:t>Пунктом 12 постановления Пленума Верховного Суда Российской Федерации от 25.12.2018 № 48 (далее — Постановление № 48) разъяснено: «Внесудебное соглашение об уплате алиментов может быть признано недействительным по заявлению финансового управляющего, кредиторов должника, чьи требования признаны арбитражным судом, рассматривающим дело о банкротстве, обоснованными и по размеру отвечают критерию, указанному в пункте 1 статьи 213.32 Закона о банкротстве, в той части, в которой предоставление, причитающееся получателю алиментов, превосходит его разумно достаточные потребности, чем причиняется ущерб интересам иных кредиторов (статья 61.2 Закона о банкротстве, статьи 10 и 168, 170 ГК РФ). Соответствующее заявление подлежит рассмотрению в рамках дела о банкротстве. Заявления о признании недействительными соглашений об уплате алиментов по иным основаниям подлежат рассмотрению в исковом порядке судами общей юрисдикции с соблюдением правил подсудности; соответствующий иск может быть подан, в частности, финансовым управляющим от имени должника. Разрешая вопрос о недействительности соглашения об уплате алиментов по основаниям, связанным с нарушением этим соглашением прав и законных интересов кредиторов, арбитражный суд проверяет, была ли направлена сделка на достижение противоправных целей в момент ее совершения. Если же негативные последствия для кредиторов возникли впоследствии, например, по причине ухудшения имущественного положения гражданина-должника и возникшего в связи с этим существенного дисбаланса между правами кредиторов и правами получателя алиментов, должник, финансовый управляющий его имуществом, кредиторы должника, чьи требования признаны обоснованными арбитражным судом, рассматривающим дело о банкротстве, вправе предъявить иск об изменении или о расторжении соглашения об уплате алиментов (пункт 4 статьи 101 СК РФ). Такой иск подлежит рассмотрению судом общей юрисдикции с соблюдением правил подсудности. К участию в деле привлекается финансовый управляющий. Все кредиторы должника, требования которых заявлены в деле о банкротстве, вправе принять участие в рассмотрении указанного иска в качестве третьих лиц, не заявляющих самостоятельных требований относительно предмета спора (статья 43 ГПК РФ).»</w:t>
      </w:r>
    </w:p>
    <w:p>
      <w:pPr>
        <w:spacing w:after="120" w:line="276" w:lineRule="auto"/>
        <w:ind w:firstLine="709"/>
        <w:jc w:val="both"/>
      </w:pPr>
      <w:r>
        <w:rPr>
          <w:rFonts w:ascii="Times New Roman" w:hAnsi="Times New Roman"/>
          <w:b w:val="0"/>
          <w:i w:val="0"/>
          <w:sz w:val="24"/>
        </w:rPr>
        <w:t>Разумно достаточные потребности детей определяются исходя из величины прожиточного минимума для детей в [субъект] ([сумма] руб. на дату Соглашения), обычного уровня расходов семьи и дохода родителей. Установленный Соглашением размер ([сумма] руб. в месяц на каждого ребёнка) превышает прожиточный минимум в [__] раз и составляет [__] % всего дохода Должника, что лишило кредиторов возможности получать удовлетворение за счёт дохода Должника и свидетельствует о направленности Соглашения не на содержание детей, а на вывод средств из конкурсной массы под защитой алиментного приоритета. Требования по алиментам имеют преимущество перед требованиями кредиторов (пункт 2 статьи 213.27 Закона о банкротстве), поэтому завышенный размер алиментов прямо уменьшает возможность удовлетворения иных кредиторов.</w:t>
      </w:r>
    </w:p>
    <w:p>
      <w:pPr>
        <w:spacing w:after="120" w:line="276" w:lineRule="auto"/>
        <w:jc w:val="center"/>
      </w:pPr>
      <w:r>
        <w:rPr>
          <w:rFonts w:ascii="Times New Roman" w:hAnsi="Times New Roman"/>
          <w:b/>
          <w:i w:val="0"/>
          <w:sz w:val="24"/>
        </w:rPr>
        <w:t>IV. Заинтересованность ответчика и осведомлённость о цели сделки</w:t>
      </w:r>
    </w:p>
    <w:p>
      <w:pPr>
        <w:spacing w:after="120" w:line="276" w:lineRule="auto"/>
        <w:ind w:firstLine="709"/>
        <w:jc w:val="both"/>
      </w:pPr>
      <w:r>
        <w:rPr>
          <w:rFonts w:ascii="Times New Roman" w:hAnsi="Times New Roman"/>
          <w:b/>
          <w:i w:val="0"/>
          <w:sz w:val="24"/>
        </w:rPr>
        <w:t>Заинтересованность ответчика.</w:t>
      </w:r>
      <w:r>
        <w:rPr>
          <w:rFonts w:ascii="Times New Roman" w:hAnsi="Times New Roman"/>
          <w:b w:val="0"/>
          <w:i w:val="0"/>
          <w:sz w:val="24"/>
        </w:rPr>
        <w:t xml:space="preserve"> Пунктом 3 статьи 19 Закона о банкротстве установлено: «Заинтересованными лицами по отношению к должнику-гражданину признаются его супруг, родственники по прямой восходящей и нисходящей линии, сестры, братья и их родственники по нисходящей линии, родители, дети, сестры и братья супруга.» Ответчик является [супругом / сыном / дочерью / матерью / отцом / братом / сестрой] Должника, что подтверждается [записью акта о рождении / о заключении брака, сведениями органа ЗАГС, совпадением фамилии и адреса регистрации, объяснениями Должника]. В силу абзаца первого пункта 2 статьи 61.2 Закона о банкротстве и пункта 7 Постановления № 63 осведомлённость заинтересованного лица о цели причинения вреда кредиторам презюмируется; бремя опровержения презумпции лежит на ответчике.</w:t>
      </w:r>
    </w:p>
    <w:p>
      <w:pPr>
        <w:spacing w:after="120" w:line="276" w:lineRule="auto"/>
        <w:ind w:firstLine="709"/>
        <w:jc w:val="both"/>
      </w:pPr>
      <w:r>
        <w:rPr>
          <w:rFonts w:ascii="Times New Roman" w:hAnsi="Times New Roman"/>
          <w:b w:val="0"/>
          <w:i w:val="0"/>
          <w:sz w:val="24"/>
        </w:rPr>
        <w:t>Ответчик как [бывшая] супруга Должника знала о его долгах; совместное проживание [либо сохранение семейных отношений после расторжения брака] подтверждается [адресной справкой, объяснениями].</w:t>
      </w:r>
    </w:p>
    <w:p>
      <w:pPr>
        <w:spacing w:after="120" w:line="276" w:lineRule="auto"/>
        <w:jc w:val="center"/>
      </w:pPr>
      <w:r>
        <w:rPr>
          <w:rFonts w:ascii="Times New Roman" w:hAnsi="Times New Roman"/>
          <w:b/>
          <w:i w:val="0"/>
          <w:sz w:val="24"/>
        </w:rPr>
        <w:t>V. Правовое обоснование</w:t>
      </w:r>
    </w:p>
    <w:p>
      <w:pPr>
        <w:spacing w:after="120" w:line="276" w:lineRule="auto"/>
        <w:ind w:firstLine="709"/>
        <w:jc w:val="both"/>
      </w:pPr>
      <w:r>
        <w:rPr>
          <w:rFonts w:ascii="Times New Roman" w:hAnsi="Times New Roman"/>
          <w:b/>
          <w:i w:val="0"/>
          <w:sz w:val="24"/>
        </w:rPr>
        <w:t>Основание — пункт 2 статьи 61.2 Закона о банкротстве.</w:t>
      </w:r>
      <w:r>
        <w:rPr>
          <w:rFonts w:ascii="Times New Roman" w:hAnsi="Times New Roman"/>
          <w:b w:val="0"/>
          <w:i w:val="0"/>
          <w:sz w:val="24"/>
        </w:rPr>
        <w:t xml:space="preserve"> Пунктом 2 статьи 61.2 Закона о банкротстве установлено: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одного из следующих условий: 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а для кредитной организации - десять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 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 после совершения сделки по передаче имущества должник продолжал осуществлять пользование и (или) владение данным имуществом либо давать указания его собственнику об определении судьбы данного имущества.»</w:t>
      </w:r>
    </w:p>
    <w:p>
      <w:pPr>
        <w:spacing w:after="120" w:line="276" w:lineRule="auto"/>
        <w:ind w:firstLine="709"/>
        <w:jc w:val="both"/>
      </w:pPr>
      <w:r>
        <w:rPr>
          <w:rFonts w:ascii="Times New Roman" w:hAnsi="Times New Roman"/>
          <w:b w:val="0"/>
          <w:i w:val="0"/>
          <w:sz w:val="24"/>
        </w:rPr>
        <w:t>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(далее — Постановление № 63) разъяснено: «В силу этой нормы для признания сделки недействительной по данному основанию необходимо, чтобы оспаривающее сделку лицо доказало наличие совокупности всех следующих обстоятельств: а) сделка была совершена с целью причинить вред имущественным правам кредиторов; б) в результате совершения сделки был причинен вред имущественным правам кредиторов; в) другая сторона сделки знала или должна была знать об указанной цели должника к моменту совершения сделки (с учетом пункта 7 настоящего Постановления). В случае недоказанности хотя бы одного из этих обстоятельств суд отказывает в признании сделки недействительной по данному основанию.» Пунктом 6 Постановления № 63 разъяснено: «Согласно абзацам второму - пятому пункта 2 статьи 61.2 Закона о банкротстве цель причинения вреда имущественным правам кредиторов предполагается, если налицо одновременно два следующих условия: а) на момент совершения сделки должник отвечал признаку неплатежеспособности или недостаточности имущества; б) имеется хотя бы одно из других обстоятельств, предусмотренных абзацами вторым - пятым пункта 2 статьи 61.2 Закона о банкротстве. Установленные абзацами вторым - пятым пункта 2 статьи 61.2 Закона о банкротстве презумпции являются опровержимыми - они применяются, если иное не доказано другой стороной сделки.» Согласно пункту 7 Постановления № 63 «В силу абзаца первого пункта 2 статьи 61.2 Закона о банкротстве предполагается, что другая сторона сделки знала о совершении сделки с целью причинить вред имущественным правам кредиторов, если она признана заинтересованным лицом (статья 19 этого Закона)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Данные презумпции являются опровержимыми - они применяются, если иное не доказано другой стороной сделки. При решении вопроса о том, должна ли была другая сторона сделки знать об указанных обстоятельствах, во внимание принимается то, насколько она могла, действуя разумно и проявляя требующуюся от нее по условиям оборота осмотрительность, установить наличие этих обстоятельств.»</w:t>
      </w:r>
    </w:p>
    <w:p>
      <w:pPr>
        <w:spacing w:after="120" w:line="276" w:lineRule="auto"/>
        <w:ind w:firstLine="709"/>
        <w:jc w:val="both"/>
      </w:pPr>
      <w:r>
        <w:rPr>
          <w:rFonts w:ascii="Times New Roman" w:hAnsi="Times New Roman"/>
          <w:b w:val="0"/>
          <w:i w:val="0"/>
          <w:sz w:val="24"/>
        </w:rPr>
        <w:t>Соглашение в части, превышающей разумно достаточные потребности детей, является сделкой во вред кредиторам в пользу заинтересованного лица, совершённой при неплатёжеспособности Должника (пункт 2 статьи 61.2 Закона о банкротстве, пункт 12 Постановления № 48). Оспаривание допускается именно в части превышения; в разумной части Соглашение сохраняет силу, и интересы детей не затрагиваются.</w:t>
      </w:r>
    </w:p>
    <w:p>
      <w:pPr>
        <w:spacing w:after="120" w:line="276" w:lineRule="auto"/>
        <w:ind w:firstLine="709"/>
        <w:jc w:val="both"/>
      </w:pPr>
      <w:r>
        <w:rPr>
          <w:rFonts w:ascii="Times New Roman" w:hAnsi="Times New Roman"/>
          <w:b/>
          <w:i w:val="0"/>
          <w:sz w:val="24"/>
        </w:rPr>
        <w:t>Злоупотребление правом (статьи 10, 168 ГК РФ).</w:t>
      </w:r>
      <w:r>
        <w:rPr>
          <w:rFonts w:ascii="Times New Roman" w:hAnsi="Times New Roman"/>
          <w:b w:val="0"/>
          <w:i w:val="0"/>
          <w:sz w:val="24"/>
        </w:rPr>
        <w:t xml:space="preserve"> Пунктом 1 статьи 10 Гражданского кодекса Российской Федерации (далее —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Согласно пункту 5 той же статьи «Добросовестность участников гражданских правоотношений и разумность их действий предполагаются.» Пунктом 2 статьи 168 ГК РФ предусмотрено: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В абзаце четвёртом пункта 4 Постановления № 63 разъяснено: «В то же время наличие в Законе о банкротстве специальных оснований оспаривания сделок, предусмотренных статьями 61.2 и 61.3, само по себе не препятствует суду квалифицировать сделку, при совершении которой допущено злоупотребление правом, как ничтожную (статьи 10 и 168 ГК РФ), в том числе при рассмотрении требования, основанного на такой сделке.» Пунктом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(далее — Постановление № 32) разъяснено: «Исходя из недопустимости злоупотребления гражданскими правами (пункт 1 статьи 10 ГК РФ) и необходимости защиты при банкротстве прав и законных интересов кредиторов по требованию арбитражного управляющего или кредитора может быть признана недействительной совершенная до или после возбуждения дела о банкротстве сделка должника, направленная на нарушение прав и законных интересов кредиторов, в частности направленная на уменьшение конкурсной массы сделка по отчуждению по заведомо заниженной цене имущества должника третьим лицам. Исковая давность по такому требованию в силу пункта 1 статьи 181 ГК РФ составляет три года и исчисляется со дня, когда оспаривающее сделку лицо узнало или должно было узнать о наличии обстоятельств, являющихся основанием для признания сделки недействительной, но не ранее введения в отношении должника первой процедуры банкротства.» Пунктом 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 25) разъяснено: «Если совершение сделки нарушает запрет, установленный пунктом 1 статьи 10 ГК РФ, в зависимости от обстоятельств дела такая сделка может быть признана судом недействительной (пункты 1 или 2 статьи 168 ГК РФ).» Согласно пункту 1 Постановления № 25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w:t>
      </w:r>
    </w:p>
    <w:p>
      <w:pPr>
        <w:spacing w:after="120" w:line="276" w:lineRule="auto"/>
        <w:ind w:firstLine="709"/>
        <w:jc w:val="both"/>
      </w:pPr>
      <w:r>
        <w:rPr>
          <w:rFonts w:ascii="Times New Roman" w:hAnsi="Times New Roman"/>
          <w:b w:val="0"/>
          <w:i w:val="0"/>
          <w:sz w:val="24"/>
        </w:rPr>
        <w:t>Злоупотребление правом состоит в использовании института алиментов — защищённого законом приоритета — для сокрытия дохода от кредиторов; такая сделка в части превышения ничтожна по статьям 10 и 168 ГК РФ.</w:t>
      </w:r>
    </w:p>
    <w:p>
      <w:pPr>
        <w:spacing w:after="120" w:line="276" w:lineRule="auto"/>
        <w:jc w:val="center"/>
      </w:pPr>
      <w:r>
        <w:rPr>
          <w:rFonts w:ascii="Times New Roman" w:hAnsi="Times New Roman"/>
          <w:b/>
          <w:i w:val="0"/>
          <w:sz w:val="24"/>
        </w:rPr>
        <w:t>VI. Срок исковой давности</w:t>
      </w:r>
    </w:p>
    <w:p>
      <w:pPr>
        <w:spacing w:after="120" w:line="276" w:lineRule="auto"/>
        <w:ind w:firstLine="709"/>
        <w:jc w:val="both"/>
      </w:pPr>
      <w:r>
        <w:rPr>
          <w:rFonts w:ascii="Times New Roman" w:hAnsi="Times New Roman"/>
          <w:b w:val="0"/>
          <w:i w:val="0"/>
          <w:sz w:val="24"/>
        </w:rPr>
        <w:t>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Пунктом 32 Постановления № 63 разъяснено: «Заявление об оспаривании сделки на основании статей 61.2 или 61.3 Закона о банкротстве может быть подано в течение годичного срока исковой давности (пункт 2 статьи 181 ГК РФ).» Абзацем вторым пункта 2 статьи 213.32 Закона о банкротстве предусмотрено: «При этом срок исковой давности исчисляется с момента, когда финансовый управляющий узнал или должен был узнать о наличии указанных в статье 61.2 или 61.3 настоящего Федерального закона оснований.» Финансовый управляющий утверждён «[дата]»; о сделке и об обстоятельствах, составляющих основание её недействительности [отсутствие оплаты, заинтересованность, рыночная стоимость], он узнал из [ответа Росреестра / ГИБДД / банка от «[дата]»], поэтому годичный срок на дату подачи заявления не истёк.</w:t>
      </w:r>
    </w:p>
    <w:p>
      <w:pPr>
        <w:spacing w:after="120" w:line="276" w:lineRule="auto"/>
        <w:ind w:firstLine="709"/>
        <w:jc w:val="both"/>
      </w:pPr>
      <w:r>
        <w:rPr>
          <w:rFonts w:ascii="Times New Roman" w:hAnsi="Times New Roman"/>
          <w:b w:val="0"/>
          <w:i w:val="0"/>
          <w:sz w:val="24"/>
        </w:rPr>
        <w:t>Для требования о признании ничтожной сделки недействительной применяется трёхлетний срок: пунктом 1 статьи 181 ГК РФ установлено: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По разъяснению пункта 10 Постановления № 32 этот срок исчисляется со дня, когда оспаривающее сделку лицо узнало или должно было узнать об основаниях недействительности, но не ранее введения в отношении Должника первой процедуры банкротства («[дата]»), поэтому и он не пропущен.</w:t>
      </w:r>
    </w:p>
    <w:p>
      <w:pPr>
        <w:spacing w:after="120" w:line="276" w:lineRule="auto"/>
        <w:jc w:val="center"/>
      </w:pPr>
      <w:r>
        <w:rPr>
          <w:rFonts w:ascii="Times New Roman" w:hAnsi="Times New Roman"/>
          <w:b/>
          <w:i w:val="0"/>
          <w:sz w:val="24"/>
        </w:rPr>
        <w:t>VII. Последствия недействительности сделки</w:t>
      </w:r>
    </w:p>
    <w:p>
      <w:pPr>
        <w:spacing w:after="120" w:line="276" w:lineRule="auto"/>
        <w:ind w:firstLine="709"/>
        <w:jc w:val="both"/>
      </w:pPr>
      <w:r>
        <w:rPr>
          <w:rFonts w:ascii="Times New Roman" w:hAnsi="Times New Roman"/>
          <w:b w:val="0"/>
          <w:i w:val="0"/>
          <w:sz w:val="24"/>
        </w:rPr>
        <w:t>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ind w:firstLine="709"/>
        <w:jc w:val="both"/>
      </w:pPr>
      <w:r>
        <w:rPr>
          <w:rFonts w:ascii="Times New Roman" w:hAnsi="Times New Roman"/>
          <w:b w:val="0"/>
          <w:i w:val="0"/>
          <w:sz w:val="24"/>
        </w:rPr>
        <w:t>Последствием недействительности Соглашения в части является взыскание с ответчика в конкурсную массу денежных средств, полученных сверх разумного размера алиментов за период с «[дата]» по «[дата]», — [сумма] руб. (расчёт прилагается). На будущее время алименты подлежат уплате в размере [сумма] руб. в месяц [установленном законом — [__] % дохода]. [Переданное по Соглашению имущество подлежит возврату в конкурсную массу.]</w:t>
      </w:r>
    </w:p>
    <w:p>
      <w:pPr>
        <w:spacing w:after="120" w:line="276" w:lineRule="auto"/>
        <w:jc w:val="center"/>
      </w:pPr>
      <w:r>
        <w:rPr>
          <w:rFonts w:ascii="Times New Roman" w:hAnsi="Times New Roman"/>
          <w:b/>
          <w:i w:val="0"/>
          <w:sz w:val="24"/>
        </w:rPr>
        <w:t>VIII.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физических лиц — 15 000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7 500 руб. Вместе с тем подпунктом 4 пункта 1 статьи 333.37 НК РФ от уплаты пошлины освобождены «граждане, в отношении которых введена процедура, применяемая в деле о несостоятельности (банкротстве), - по обособленным спорам, связанным с освобождением от обязательств перед кредиторами, формированием конкурсной массы и реестра требований кредиторов, в деле об их несостоятельности (банкротстве)». Заявление об оспаривании сделки, поданное финансовым управляющим от имени гражданина-должника, направлено на формирование конкурсной массы, поэтому заявитель полагает, что пошлина уплате не подлежит [при ином толковании судом — просит предоставить отсрочку].</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166, 167, 168 Гражданского кодекса Российской Федерации, статьями 2, 19, 61.1, 61.2, 61.6, 61.8, 213.9, 213.27, 213.32 Федерального закона «О несостоятельности (банкротстве)», статьями 65, 125, 126, 223 Арбитражного процессуального кодекса Российской Федерации, статьями 81, 99–104 Семейного кодекса Российской Федерации, финансовый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Признать недействительным соглашение об уплате алиментов от «[дата]», заключённое между [Ф. И. О. Должника] и [Ф. И. О. ответчика], удостоверенное нотариусом [Ф. И. О.] (реестровый № [__]), в части установления размера алиментов, превышающего [сумма] руб. в месяц [[__] % дохода Должника].</w:t>
      </w:r>
    </w:p>
    <w:p>
      <w:pPr>
        <w:spacing w:after="120" w:line="276" w:lineRule="auto"/>
        <w:ind w:firstLine="709"/>
        <w:jc w:val="both"/>
      </w:pPr>
      <w:r>
        <w:rPr>
          <w:rFonts w:ascii="Times New Roman" w:hAnsi="Times New Roman"/>
          <w:b w:val="0"/>
          <w:i w:val="0"/>
          <w:sz w:val="24"/>
        </w:rPr>
        <w:t>3. Применить последствия недействительности сделки: взыскать с [Ф. И. О. ответчика] в конкурсную массу [Ф. И. О. Должника] [сумма] руб., полученных сверх разумного размера алиментов за период с «[дата]» по «[дата]» [обязать возвратить имущество [__]].</w:t>
      </w:r>
    </w:p>
    <w:p>
      <w:pPr>
        <w:spacing w:after="120" w:line="276" w:lineRule="auto"/>
        <w:ind w:firstLine="709"/>
        <w:jc w:val="both"/>
      </w:pPr>
      <w:r>
        <w:rPr>
          <w:rFonts w:ascii="Times New Roman" w:hAnsi="Times New Roman"/>
          <w:b w:val="0"/>
          <w:i w:val="0"/>
          <w:sz w:val="24"/>
        </w:rPr>
        <w:t>4.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Копия соглашения об уплате алиментов; свидетельства о рождении детей, о заключении и расторжении брака.</w:t>
      </w:r>
    </w:p>
    <w:p>
      <w:pPr>
        <w:spacing w:after="40" w:line="276" w:lineRule="auto"/>
        <w:jc w:val="left"/>
      </w:pPr>
      <w:r>
        <w:rPr>
          <w:rFonts w:ascii="Times New Roman" w:hAnsi="Times New Roman"/>
          <w:b w:val="0"/>
          <w:i w:val="0"/>
          <w:sz w:val="24"/>
        </w:rPr>
        <w:t>4. Сведения о доходах Должника за период (2-НДФЛ, данные СФР); сведения о величине прожиточного минимума для детей в субъекте.</w:t>
      </w:r>
    </w:p>
    <w:p>
      <w:pPr>
        <w:spacing w:after="40" w:line="276" w:lineRule="auto"/>
        <w:jc w:val="left"/>
      </w:pPr>
      <w:r>
        <w:rPr>
          <w:rFonts w:ascii="Times New Roman" w:hAnsi="Times New Roman"/>
          <w:b w:val="0"/>
          <w:i w:val="0"/>
          <w:sz w:val="24"/>
        </w:rPr>
        <w:t>5. Доказательства выплат по соглашению (выписки по счетам, постановления приставов о распределении средств); расчёт суммы превышения.</w:t>
      </w:r>
    </w:p>
    <w:p>
      <w:pPr>
        <w:spacing w:after="40" w:line="276" w:lineRule="auto"/>
        <w:jc w:val="left"/>
      </w:pPr>
      <w:r>
        <w:rPr>
          <w:rFonts w:ascii="Times New Roman" w:hAnsi="Times New Roman"/>
          <w:b w:val="0"/>
          <w:i w:val="0"/>
          <w:sz w:val="24"/>
        </w:rPr>
        <w:t>6. Доказательства осведомлённости ответчика о долгах Должника и совместного проживания.</w:t>
      </w:r>
    </w:p>
    <w:p>
      <w:pPr>
        <w:spacing w:after="40" w:line="276" w:lineRule="auto"/>
        <w:jc w:val="left"/>
      </w:pPr>
      <w:r>
        <w:rPr>
          <w:rFonts w:ascii="Times New Roman" w:hAnsi="Times New Roman"/>
          <w:b w:val="0"/>
          <w:i w:val="0"/>
          <w:sz w:val="24"/>
        </w:rPr>
        <w:t>7.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8.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9.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10.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11.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w:t>
      </w:r>
    </w:p>
    <w:p>
      <w:pPr>
        <w:spacing w:after="40" w:line="276" w:lineRule="auto"/>
        <w:jc w:val="left"/>
      </w:pPr>
      <w:r>
        <w:rPr>
          <w:rFonts w:ascii="Times New Roman" w:hAnsi="Times New Roman"/>
          <w:b w:val="0"/>
          <w:i w:val="0"/>
          <w:sz w:val="24"/>
        </w:rPr>
        <w:t>12.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Оспаривайте только часть сверх разумных потребностей (п. 12 Постановления № 48) — требование признать соглашение недействительным полностью суды отклоняют. Разумный размер обосновывайте прожиточным минимумом и прежним уровнем содержания.</w:t>
      </w:r>
    </w:p>
    <w:p>
      <w:pPr>
        <w:spacing w:after="40" w:line="276" w:lineRule="auto"/>
        <w:jc w:val="both"/>
      </w:pPr>
      <w:r>
        <w:rPr>
          <w:rFonts w:ascii="Times New Roman" w:hAnsi="Times New Roman"/>
          <w:b w:val="0"/>
          <w:i/>
          <w:sz w:val="24"/>
        </w:rPr>
        <w:t>— Если алименты установлены судебным актом, он не оспаривается в деле о банкротстве — обжалуйте его в общем порядке с восстановлением срока (абз. 1 п. 12 Постановления № 48).</w:t>
      </w:r>
    </w:p>
    <w:p>
      <w:pPr>
        <w:spacing w:after="40" w:line="276" w:lineRule="auto"/>
        <w:jc w:val="both"/>
      </w:pPr>
      <w:r>
        <w:rPr>
          <w:rFonts w:ascii="Times New Roman" w:hAnsi="Times New Roman"/>
          <w:b w:val="0"/>
          <w:i/>
          <w:sz w:val="24"/>
        </w:rPr>
        <w:t>— Если дисбаланс возник позже (должник потерял доход), путь иной — иск об изменении соглашения по п. 4 ст. 101 СК РФ в суд общей юрисдикции.</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