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финансовый управляющий должника</w:t>
      </w:r>
      <w:r>
        <w:rPr>
          <w:rFonts w:ascii="Times New Roman" w:hAnsi="Times New Roman"/>
          <w:b w:val="0"/>
          <w:i w:val="0"/>
          <w:sz w:val="24"/>
        </w:rPr>
        <w:br/>
        <w:t>[Ф. И. О. финансового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ответчика]</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p>
    <w:p>
      <w:pPr>
        <w:spacing w:after="160" w:line="276" w:lineRule="auto"/>
        <w:jc w:val="right"/>
      </w:pPr>
      <w:r>
        <w:rPr>
          <w:rFonts w:ascii="Times New Roman" w:hAnsi="Times New Roman"/>
          <w:b/>
          <w:i w:val="0"/>
          <w:sz w:val="24"/>
        </w:rPr>
        <w:t xml:space="preserve">Ответчик 2 (конечный приобретатель): </w:t>
      </w:r>
      <w:r>
        <w:rPr>
          <w:rFonts w:ascii="Times New Roman" w:hAnsi="Times New Roman"/>
          <w:b w:val="0"/>
          <w:i w:val="0"/>
          <w:sz w:val="24"/>
        </w:rPr>
        <w:t>[Ф. И. О. / наименование]</w:t>
      </w:r>
      <w:r>
        <w:rPr>
          <w:rFonts w:ascii="Times New Roman" w:hAnsi="Times New Roman"/>
          <w:b w:val="0"/>
          <w:i w:val="0"/>
          <w:sz w:val="24"/>
        </w:rPr>
        <w:br/>
        <w:t>дата и место рождения / ОГРН, ИНН: [__________]</w:t>
      </w:r>
      <w:r>
        <w:rPr>
          <w:rFonts w:ascii="Times New Roman" w:hAnsi="Times New Roman"/>
          <w:b w:val="0"/>
          <w:i w:val="0"/>
          <w:sz w:val="24"/>
        </w:rPr>
        <w:br/>
        <w:t>адрес: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[Ф. И. О. должника]</w:t>
      </w:r>
      <w:r>
        <w:rPr>
          <w:rFonts w:ascii="Times New Roman" w:hAnsi="Times New Roman"/>
          <w:b w:val="0"/>
          <w:i w:val="0"/>
          <w:sz w:val="24"/>
        </w:rPr>
        <w:br/>
        <w:t>дата и место рождения: [__________]</w:t>
      </w:r>
      <w:r>
        <w:rPr>
          <w:rFonts w:ascii="Times New Roman" w:hAnsi="Times New Roman"/>
          <w:b w:val="0"/>
          <w:i w:val="0"/>
          <w:sz w:val="24"/>
        </w:rPr>
        <w:br/>
        <w:t>ИНН [__________], СНИЛС [__________]</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7 500 руб. — за требование о признании сделки недействительной (подп. 2 п. 1 ст. 333.21 НК РФ: 15 000 руб. для физических лиц, с учётом подп. 9 п. 1 той же статьи — 50 %) [+ 15 000 руб. за ходатайство об обеспечительных мерах: подп. 17 п. 1 ст. 333.21 НК РФ (30 000 руб.) с учётом подп. 9 п. 1 — 50 %]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недействительной цепочки взаимосвязанных сделок как единой сделки, прикрывающей безвозмездное отчуждение имущества должника, и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(резолютивная часть объявлена «[дата]») по делу № А[__]-[_____]/20[__] [Ф. И. О.] (далее — Должник) признан(а) несостоятельным (банкротом), введена процедура реализации имущества гражданина, финансовым управляющим утверждён [Ф. И. О.] (далее — Финансовый управляющий). Заявление о признании Должника банкротом [подано кредитором [наименование] / самим Должником] «[дата]» и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 в том числе [кредитор] — [сумма] руб. (определение от «[дата]»), [уполномоченный орган] —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213.32 Федерального закона от 26.10.2002 № 127-ФЗ «О несостоятельности (банкротстве)» (далее — Закон о банкротстве) установлено: «Заявление об оспаривании сделки должника-гражданина по основаниям, предусмотренным статьей 61.2 или 61.3 настоящего Федерального закона, может быть подано финансовым управляющим по своей инициативе либо по решению собрания кредиторов или комитета кредиторов, а также конкурсным кредитором или уполномоченным органом, если размер его кредиторской задолженности, включенной в реестр требований кредиторов, составляет более десяти процентов общего размера кредиторской задолженности, включенной в реестр требований кредиторов, не считая размера требований кредитора, в отношении которого сделка оспаривается, и его заинтересованных лиц.» Согласно пункту 2 той же статьи «Право на подачу заявления об оспаривании сделки должника-гражданина по указанным в статье 61.2 или 61.3 настоящего Федерального закона основаниям возникает с даты введения реструктуризации долгов гражданина.» Абзацем вторым пункта 7 статьи 213.9 Закона о банкротстве финансовому управляющему предоставлено право «подавать в арбитражный суд от имени гражданина заявления о признании недействительными сделок по основаниям, предусмотренным статьями 61.2 и 61.3 настоящего Федерального закона, а также сделок, совершенных с нарушением настоящего Федерального закона». Пунктом 3 статьи 213.32 Закона о банкротстве предусмотрено: «Заявление об оспаривании сделки должника-гражданина по указанным в статье 61.2 или 61.3 настоящего Федерального закона основаниям подается в арбитражный суд, рассматривающий дело о банкротстве гражданина, и подлежит рассмотрению в деле о банкротстве гражданина независимо от состава лиц, участвующих в данной сделке.»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Должнику принадлежал(а) [квартира / нежилое здание / земельный участок] по адресу: [__], кадастровый номер [__] (далее — Объект) рыночной стоимостью [сумма] руб. «[дата]» по договору купли-продажи Должник продал Объект [Ф. И. О. ответчика 1] (далее — первый приобретатель) за [сумма] руб. (переход права зарегистрирован «[дата]»); спустя [__] дней, «[дата]», первый приобретатель продал Объект [Ф. И. О. ответчика 2] (далее — конечный приобретатель) за [сумма] руб. (регистрация «[дата]»). [Третьим звеном «[дата]» Объект передан [__].]</w:t>
      </w:r>
    </w:p>
    <w:p>
      <w:pPr>
        <w:spacing w:after="120" w:line="276" w:lineRule="auto"/>
        <w:ind w:firstLine="709"/>
        <w:jc w:val="both"/>
      </w:pPr>
      <w:r>
        <w:rPr>
          <w:rFonts w:ascii="Times New Roman" w:hAnsi="Times New Roman"/>
          <w:b w:val="0"/>
          <w:i w:val="0"/>
          <w:sz w:val="24"/>
        </w:rPr>
        <w:t>Признаки единой сделки: все участники связаны с Должником ([первый приобретатель — работник / знакомый Должника; конечный приобретатель — [родственник Должника / общество, учреждённое Должником]]); промежуток между сделками минимален; промежуточный собственник Объектом не пользовался, расходов не нёс, в нём не регистрировался; оплата ни по одной из сделок не подтверждена (на счета Должника и первого приобретателя деньги не поступали); цены сделок символические; Объект после всех сделок [остался в фактическом пользовании Должника / используется конечным приобретателем безвозмездно]. Первая сделка совершена [в период просрочки Должника по кредитам / после подачи иска кредитором].</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(переход права зарегистрирован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[первая сделка — также в годичный период пункта 1 той же статьи].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120" w:line="276" w:lineRule="auto"/>
        <w:jc w:val="center"/>
      </w:pPr>
      <w:r>
        <w:rPr>
          <w:rFonts w:ascii="Times New Roman" w:hAnsi="Times New Roman"/>
          <w:b/>
          <w:i w:val="0"/>
          <w:sz w:val="24"/>
        </w:rPr>
        <w:t>II. Долги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по [кредитному договору от «[дата]» № [__]] — [сумма] руб. (просрочка с «[дата]», требование включено в реестр определением от «[дата]»); перед [кредитор 2] — [сумма] руб. (решение [суд] от «[дата]» по делу № [__]); перед уполномоченным органом — [сумма] руб. Платежи по этим обязательствам Должник прекратил «[дата]», то есть до совершения оспариваемой сделки; иного имущества, достаточного для расчётов, у Должника не было [финансовый анализ от «[дата]», опись имущества]. Таким образом, на дату сделки Должник отвечал признаку неплатёжеспособности, а в результате отчуждения [имущества] стал отвечать и признаку недостаточности имущества.</w:t>
      </w:r>
    </w:p>
    <w:p>
      <w:pPr>
        <w:spacing w:after="120" w:line="276" w:lineRule="auto"/>
        <w:jc w:val="center"/>
      </w:pPr>
      <w:r>
        <w:rPr>
          <w:rFonts w:ascii="Times New Roman" w:hAnsi="Times New Roman"/>
          <w:b/>
          <w:i w:val="0"/>
          <w:sz w:val="24"/>
        </w:rPr>
        <w:t>III. Правовое обоснование</w:t>
      </w:r>
    </w:p>
    <w:p>
      <w:pPr>
        <w:spacing w:after="120" w:line="276" w:lineRule="auto"/>
        <w:ind w:firstLine="709"/>
        <w:jc w:val="both"/>
      </w:pPr>
      <w:r>
        <w:rPr>
          <w:rFonts w:ascii="Times New Roman" w:hAnsi="Times New Roman"/>
          <w:b/>
          <w:i w:val="0"/>
          <w:sz w:val="24"/>
        </w:rPr>
        <w:t>Притворность сделки (пункт 2 статьи 170 ГК РФ).</w:t>
      </w:r>
      <w:r>
        <w:rPr>
          <w:rFonts w:ascii="Times New Roman" w:hAnsi="Times New Roman"/>
          <w:b w:val="0"/>
          <w:i w:val="0"/>
          <w:sz w:val="24"/>
        </w:rPr>
        <w:t xml:space="preserve"> Пунктом 2 статьи 170 ГК РФ установлено: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Пунктом 87 Постановления № 25 разъяснено: «Согласно пункту 2 статьи 170 ГК РФ притворная сделка, то есть сделка, которая совершена с целью прикрыть другую сделку, в том числе сделку на иных условиях, с иным субъектным составом, ничтожна.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Намерения одного участника совершить притворную сделку для применения указанной нормы недостаточно. К сделке, которую стороны действительно имели в виду (прикрываемая сделка), с учетом ее существа и содержания применяются относящиеся к ней правила (пункт 2 статьи 170 ГК РФ). Прикрываемая сделка может быть также признана недействительной по основаниям, установленным ГК РФ или специальными законами.» Согласно пункту 88 Постановления № 25 «Применяя правила о притворных сделках, следует учитывать, что для прикрытия сделки может быть совершена не только одна, но и несколько сделок. В таком случае прикрывающие сделки являются ничтожными, а к сделке, которую стороны действительно имели в виду, с учетом ее существа и содержания применяются относящиеся к ней правила (пункт 2 статьи 170 ГК РФ).»</w:t>
      </w:r>
    </w:p>
    <w:p>
      <w:pPr>
        <w:spacing w:after="120" w:line="276" w:lineRule="auto"/>
        <w:ind w:firstLine="709"/>
        <w:jc w:val="both"/>
      </w:pPr>
      <w:r>
        <w:rPr>
          <w:rFonts w:ascii="Times New Roman" w:hAnsi="Times New Roman"/>
          <w:b w:val="0"/>
          <w:i w:val="0"/>
          <w:sz w:val="24"/>
        </w:rPr>
        <w:t>Цепочка последовательных договоров купли-продажи с разным субъектным составом, совершённых за короткий срок без оплаты и без реального перехода владения к промежуточному звену, прикрывает единую сделку — безвозмездное отчуждение Объекта Должником конечному приобретателю. Верховный Суд Российской Федерации указывает, что при такой структуре отношений промежуточные сделки ничтожны как притворные, а прикрываемая сделка проверяется на наличие оснований недействительности по статье 61.2 Закона о банкротстве, и требование о возврате имущества предъявляется непосредственно к конечному приобретателю в рамках дела о банкротстве, без виндикационного иска (определения от 31.07.2017 № 305-ЭС15-11230, от 19.06.2020 № 301-ЭС17-19678, от 25.01.2018 № 301-ЭС17-13352). Пунктом 88 Постановления № 25 разъяснено: «Применяя правила о притворных сделках, следует учитывать, что для прикрытия сделки может быть совершена не только одна, но и несколько сделок. В таком случае прикрывающие сделки являются ничтожными, а к сделке, которую стороны действительно имели в виду, с учетом ее существа и содержания применяются относящиеся к ней правила (пункт 2 статьи 170 ГК РФ).»</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Прикрываемая сделка — безвозмездная передача Объекта заинтересованному лицу при неплатёжеспособности Должника — отвечает всем элементам пункта 2 статьи 61.2 Закона о банкротстве: совершена в трёхлетний период, причинила вред (выбытие Объекта стоимостью [сумма] руб.), осведомлённость конечного приобретателя как заинтересованного лица презюмируется. [При сделке в годичный период — также пункт 1 статьи 61.2: неравноценность.]</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Согласованные действия нескольких лиц по многоступенчатому выводу имущества — злоупотребление правом; каждое звено цепочки ничтожно и по статьям 10, 168 ГК РФ.</w:t>
      </w:r>
    </w:p>
    <w:p>
      <w:pPr>
        <w:spacing w:after="120" w:line="276" w:lineRule="auto"/>
        <w:ind w:firstLine="709"/>
        <w:jc w:val="both"/>
      </w:pPr>
      <w:r>
        <w:rPr>
          <w:rFonts w:ascii="Times New Roman" w:hAnsi="Times New Roman"/>
          <w:b/>
          <w:i w:val="0"/>
          <w:sz w:val="24"/>
        </w:rPr>
        <w:t>Разграничение с виндикацией.</w:t>
      </w:r>
      <w:r>
        <w:rPr>
          <w:rFonts w:ascii="Times New Roman" w:hAnsi="Times New Roman"/>
          <w:b w:val="0"/>
          <w:i w:val="0"/>
          <w:sz w:val="24"/>
        </w:rPr>
        <w:t xml:space="preserve"> Пунктом 16 Постановления № 63 разъяснено: «Если же право на вещь, отчужденную должником по сделке, после совершения этой сделки было передано другой стороной сделки иному лицу по следующей сделке (например, по договору купли-продажи), то заявление об оспаривании первой сделки предъявляется по правилам статьи 61.8 Закона о банкротстве к другой ее стороне. Если первая сделка будет признана недействительной, должник вправе истребовать спорную вещь у ее второго приобретателя только посредством предъявления к нему виндикационного иска вне рамок дела о банкротстве по правилам статей 301 и 302 ГК РФ. В случае подсудности виндикационного иска тому же суду, который рассматривает дело о банкротстве, оспаривающее сделку лицо вправе по правилам статьи 130 АПК РФ соединить в одном заявлении, подаваемом в рамках дела о банкротстве, требования о признании сделки недействительной и о виндикации переданной по ней вещи; также возбужденное вне рамок дела о банкротстве тем же судом дело по иску о виндикации может быть объединено судом с рассмотрением заявления об оспаривании сделки - их объединенное рассмотрение осуществляется в рамках дела о банкротстве.» Это разъяснение применимо к случаям, когда последующая сделка является реальной и самостоятельной. При доказанности единой притворной сделки добросовестного приобретателя нет, и имущество возвращается в конкурсную массу по правилам пункта 1 статьи 61.6 Закона о банкротстве непосредственно от конечного приобретателя. [Альтернативно, если суд признает последнюю сделку самостоятельной, заявитель просит истребовать Объект у конечного приобретателя по статьям 301, 302 ГК РФ: пунктом 1 статьи 302 ГК РФ установлено: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Пунктом 2 той же статьи предусмотрено: «Если имущество приобретено безвозмездно от лица, которое не имело права его отчуждать, собственник вправе истребовать имущество во всех случаях.» Конечный приобретатель получил Объект [безвозмездно / знал об отсутствии у отчуждателя права], поэтому защите не подлежит. Требования соединены по правилам статьи 130 АПК РФ.]</w:t>
      </w:r>
    </w:p>
    <w:p>
      <w:pPr>
        <w:spacing w:after="120" w:line="276" w:lineRule="auto"/>
        <w:jc w:val="center"/>
      </w:pPr>
      <w:r>
        <w:rPr>
          <w:rFonts w:ascii="Times New Roman" w:hAnsi="Times New Roman"/>
          <w:b/>
          <w:i w:val="0"/>
          <w:sz w:val="24"/>
        </w:rPr>
        <w:t>IV.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Абзацем вторым пункта 2 статьи 213.32 Закона о банкротстве предусмотрено: «При этом срок исковой давности исчисляется с момента, когда финансовый управляющий узнал или должен был узнать о наличии указанных в статье 61.2 или 61.3 настоящего Федерального закона оснований.» Финансовый управляющий утверждён «[дата]»; о сделке и об обстоятельствах, составляющих основание её недействительности [отсутствие оплаты, заинтересованность, рыночная стоимость], он узнал из [ответа Росреестра / ГИБДД / банка от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Объект находится в собственности конечного приобретателя и подлежит возврату в конкурсную массу в натуре; определение суда — основание для внесения записей в ЕГРН. Промежуточный приобретатель, не производивший оплаты, встречных требований не имеет. [При невозможности возврата — взыскать солидарно с ответчиков действительную стоимость Объекта — [сумма] руб.]</w:t>
      </w:r>
    </w:p>
    <w:p>
      <w:pPr>
        <w:spacing w:after="120" w:line="276" w:lineRule="auto"/>
        <w:jc w:val="center"/>
      </w:pPr>
      <w:r>
        <w:rPr>
          <w:rFonts w:ascii="Times New Roman" w:hAnsi="Times New Roman"/>
          <w:b/>
          <w:i w:val="0"/>
          <w:sz w:val="24"/>
        </w:rPr>
        <w:t>VI.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цепочка уже включает [__] перепродажи, и ответчики способны добавить ещё одно звено, усложнив возврат имущества. Испрашиваемая мера в виде запрета Управлению Росреестра по [субъект] совершать регистрационные действия в отношении Объекта (кадастровый номер [__])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VII.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физических лиц — 15 000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7 500 руб. За ходатайство об обеспечительных мерах пошлина составляет 15 000 руб. (подп. 17 п. 1 ст. 333.21 НК РФ — 30 000 руб. — с учётом подп. 9 п. 1 той же статьи). Вместе с тем подпунктом 4 пункта 1 статьи 333.37 НК РФ от уплаты пошлины освобождены «граждане, в отношении которых введена процедура, применяемая в деле о несостоятельности (банкротстве), - по обособленным спорам, связанным с освобождением от обязательств перед кредиторами, формированием конкурсной массы и реестра требований кредиторов, в деле об их несостоятельности (банкротстве)». Заявление об оспаривании сделки, поданное финансовым управляющим от имени гражданина-должника, направлено на формирование конкурсной массы, поэтому заявитель полагает, что пошлина уплате не подлежит [при ином толковании судом — просит предоставить отсрочку].</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166, 167, 168, 170, 301, 302 Гражданского кодекса Российской Федерации, статьями 2, 19, 61.1, 61.2, 61.6, 61.8, 213.9, 213.32 Федерального закона «О несостоятельности (банкротстве)», статьями 65, 90, 91, 92, 125, 126, 130, 223 Арбитражного процессуального кодекса Российской Федерации, финансовый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запретить Управлению Федеральной службы государственной регистрации, кадастра и картографии по [субъект] совершать регистрационные действия в отношении [Объект, кадастровый номер]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недействительной единую сделку по отчуждению [Объект, кадастровый номер], прикрываемую договором купли-продажи от «[дата]» между [Ф. И. О. Должника] и [Ф. И. О. ответчика 1] и договором купли-продажи от «[дата]» между [Ф. И. О. ответчика 1] и [Ф. И. О. ответчика 2]; признать указанные договоры недействительными (ничтожными).</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сделки: обязать [Ф. И. О. ответчика 2] возвратить [Объект, кадастровый номер] в конкурсную массу [Ф. И. О. Должника]; указать, что определение является основанием для внесения записей в ЕГРН [при невозможности возврата — взыскать солидарно с ответчиков [сумма] руб.].</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Выписки из ЕГРН об Объекте, о переходе прав, о содержании правоустанавливающих документов по каждой сделке; копии договоров.</w:t>
      </w:r>
    </w:p>
    <w:p>
      <w:pPr>
        <w:spacing w:after="40" w:line="276" w:lineRule="auto"/>
        <w:jc w:val="left"/>
      </w:pPr>
      <w:r>
        <w:rPr>
          <w:rFonts w:ascii="Times New Roman" w:hAnsi="Times New Roman"/>
          <w:b w:val="0"/>
          <w:i w:val="0"/>
          <w:sz w:val="24"/>
        </w:rPr>
        <w:t>4. Доказательства связи участников цепочки с Должником (сведения ЗАГС, ЕГРЮЛ, трудовые отношения, адреса); доказательства отсутствия оплаты (выписки по счетам Должника и первого приобретателя).</w:t>
      </w:r>
    </w:p>
    <w:p>
      <w:pPr>
        <w:spacing w:after="40" w:line="276" w:lineRule="auto"/>
        <w:jc w:val="left"/>
      </w:pPr>
      <w:r>
        <w:rPr>
          <w:rFonts w:ascii="Times New Roman" w:hAnsi="Times New Roman"/>
          <w:b w:val="0"/>
          <w:i w:val="0"/>
          <w:sz w:val="24"/>
        </w:rPr>
        <w:t>5. Доказательства того, что промежуточный собственник Объектом не владел (сведения о регистрации по месту жительства, оплате ЖКУ, договорах аренды).</w:t>
      </w:r>
    </w:p>
    <w:p>
      <w:pPr>
        <w:spacing w:after="40" w:line="276" w:lineRule="auto"/>
        <w:jc w:val="left"/>
      </w:pPr>
      <w:r>
        <w:rPr>
          <w:rFonts w:ascii="Times New Roman" w:hAnsi="Times New Roman"/>
          <w:b w:val="0"/>
          <w:i w:val="0"/>
          <w:sz w:val="24"/>
        </w:rPr>
        <w:t>6. Отчёт об оценке рыночной стоимости Объекта.</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Ответчики — все звенья цепочки; требование о возврате адресуйте конечному приобретателю. Промежуточных приобретателей привлекайте ответчиками, а не третьими лицами — их сделки тоже признаются ничтожными.</w:t>
      </w:r>
    </w:p>
    <w:p>
      <w:pPr>
        <w:spacing w:after="40" w:line="276" w:lineRule="auto"/>
        <w:jc w:val="both"/>
      </w:pPr>
      <w:r>
        <w:rPr>
          <w:rFonts w:ascii="Times New Roman" w:hAnsi="Times New Roman"/>
          <w:b w:val="0"/>
          <w:i/>
          <w:sz w:val="24"/>
        </w:rPr>
        <w:t>— Докажите «транзитность» промежуточного звена: короткий срок владения, отсутствие оплаты и пользования, связь с должником. Без этого суд применит п. 16 Постановления № 63 и потребует отдельной виндикации.</w:t>
      </w:r>
    </w:p>
    <w:p>
      <w:pPr>
        <w:spacing w:after="40" w:line="276" w:lineRule="auto"/>
        <w:jc w:val="both"/>
      </w:pPr>
      <w:r>
        <w:rPr>
          <w:rFonts w:ascii="Times New Roman" w:hAnsi="Times New Roman"/>
          <w:b w:val="0"/>
          <w:i/>
          <w:sz w:val="24"/>
        </w:rPr>
        <w:t>— На случай иной квалификации включите альтернативное требование о виндикации (ст. 301, 302 ГК РФ) — оно рассматривается в том же деле о банкротстве по ст. 130 АПК РФ.</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Для сделок с недвижимостью датой совершения сделки в целях статьи 61.2 Закона о банкротстве в судебной практике признаётся дата государственной регистрации перехода права, а не дата подписания договора (пункт 2 статьи 8.1 ГК РФ; определение Верховного Суда Российской Федерации от 09.07.2018 № 307-ЭС18-1843).</w:t>
      </w:r>
    </w:p>
    <w:p>
      <w:pPr>
        <w:spacing w:after="40" w:line="276" w:lineRule="auto"/>
        <w:jc w:val="both"/>
      </w:pPr>
      <w:r>
        <w:rPr>
          <w:rFonts w:ascii="Times New Roman" w:hAnsi="Times New Roman"/>
          <w:b w:val="0"/>
          <w:i/>
          <w:sz w:val="24"/>
        </w:rPr>
        <w:t>— Единственное жильё: по п. 4 постановления Пленума ВС РФ от 25.12.2018 № 48 сделка по отчуждению жилого помещения не признаётся недействительной, если в нём продолжают проживать должник и его семья и при возврате оно будет защищено исполнительским иммунитетом (ст. 446 ГПК РФ). Проверьте, не является ли объект единственным жильём должника.</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