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недействительной сделки по внесению имущества в уставный капитал общества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Должнику принадлежал(и) [нежилое помещение по адресу [__], кадастровый номер [__] / земельный участок / оборудование / транспорт] (далее — Имущество) рыночной стоимостью [сумма] руб. Решением [единственного учредителя / общего собрания учредителей] от «[дата]» создано ООО «[наименование]» (ОГРН [__], далее — Общество, ответчик) с уставным капиталом [сумма] руб.; доля Должника — [__] % номинальной стоимостью [сумма] руб. оплачена Имуществом, оценённым учредителями [независимым оценщиком] в [сумма] руб. По акту приёма-передачи от «[дата]» Имущество передано Обществу; право собственности Общества на недвижимость зарегистрировано «[дата]». [Вторым участником Общества с долей [__] % стал [Ф. И. О.] — [родственник Должника], внёсший [сумма] руб.]</w:t>
      </w:r>
    </w:p>
    <w:p>
      <w:pPr>
        <w:spacing w:after="120" w:line="276" w:lineRule="auto"/>
        <w:ind w:firstLine="709"/>
        <w:jc w:val="both"/>
      </w:pPr>
      <w:r>
        <w:rPr>
          <w:rFonts w:ascii="Times New Roman" w:hAnsi="Times New Roman"/>
          <w:b w:val="0"/>
          <w:i w:val="0"/>
          <w:sz w:val="24"/>
        </w:rPr>
        <w:t>[«[дата]» Должник вышел из Общества / продал долю [Ф. И. О.] за [сумма] руб., после чего утратил и долю, и Имущество.] Директором Общества является [Должник / его родственник]; Общество фактически сдаёт Имущество в аренду, арендную плату получает [__].</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(переход права зарегистрирован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ind w:firstLine="709"/>
        <w:jc w:val="both"/>
      </w:pPr>
      <w:r>
        <w:rPr>
          <w:rFonts w:ascii="Times New Roman" w:hAnsi="Times New Roman"/>
          <w:b w:val="0"/>
          <w:i w:val="0"/>
          <w:sz w:val="24"/>
        </w:rPr>
        <w:t>Даже если ответчик станет оспаривать наличие признаков неплатёжеспособности на дату сделки, это не исключает признания сделки недействительной: обязательства, по которым кредиторы впоследствии включились в реестр, уже существовали, а безвозмездное отчуждение ликвидного имущества в пользу заинтересованного лица само по себе свидетельствует о цели причинения вреда (определение Верховного Суда Российской Федерации от 12.03.2019 № 305-ЭС17-11710(4)).</w:t>
      </w:r>
    </w:p>
    <w:p>
      <w:pPr>
        <w:spacing w:after="120" w:line="276" w:lineRule="auto"/>
        <w:jc w:val="center"/>
      </w:pPr>
      <w:r>
        <w:rPr>
          <w:rFonts w:ascii="Times New Roman" w:hAnsi="Times New Roman"/>
          <w:b/>
          <w:i w:val="0"/>
          <w:sz w:val="24"/>
        </w:rPr>
        <w:t>III. Вред кредиторам и неэквивалентность встречного предоставления</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Внесение имущества в уставный капитал — возмездная по форме сделка: взамен Должник получил долю участия. Однако доля в обществе, подконтрольном заинтересованным лицам, не эквивалентна Имуществу: её действительная стоимость зависит от решений участников и директора, она не может быть реализована на торгах по цене самого Имущества, а кредиторы Должника лишаются возможности обратить взыскание непосредственно на ликвидный объект. [Доля оценена в [сумма] руб. при рыночной стоимости Имущества [сумма] руб. — явная неэквивалентность.] [Доля впоследствии отчуждена за [сумма] руб., то есть Имущество стоимостью [сумма] руб. в итоге выведено за [сумма] руб.]</w:t>
      </w:r>
    </w:p>
    <w:p>
      <w:pPr>
        <w:spacing w:after="120" w:line="276" w:lineRule="auto"/>
        <w:ind w:firstLine="709"/>
        <w:jc w:val="both"/>
      </w:pPr>
      <w:r>
        <w:rPr>
          <w:rFonts w:ascii="Times New Roman" w:hAnsi="Times New Roman"/>
          <w:b w:val="0"/>
          <w:i w:val="0"/>
          <w:sz w:val="24"/>
        </w:rPr>
        <w:t>Передача Имущества лицу, контролируемому Должником и его родственниками, при сохранении фактического пользования им (Должник — директор Общества) образует презумпцию абзаца пятого пункта 2 статьи 61.2 Закона о банкротстве (должник продолжает пользоваться имуществом либо давать указания его собственнику).</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сделки</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Пунктами 1 и 2 статьи 19 Закона о банкротстве установлено: «В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N 135-ФЗ "О защите конкуренции" входит в одну группу лиц с должником; лицо, которое является аффилированным лицом должника. 2. 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лица, находящиеся с физическими лицами, указанными в абзаце втором настоящего пункта, в отношениях, определенных пунктом 3 настоящей статьи». Ответчик [входит в одну группу лиц с Должником / является участником (руководителем) Должника / контролируется тем же лицом — [Ф. И. О.] / является супругом (родственником) руководителя Должника], что подтверждается выписками из ЕГРЮЛ, [списком участников, сведениями ЗАГС]. Осведомлённость заинтересованного лица о цели причинения вреда кредиторам презюмируется (абзац первый пункта 2 статьи 61.2 Закона о банкротстве, пункт 7 Постановления № 63).</w:t>
      </w:r>
    </w:p>
    <w:p>
      <w:pPr>
        <w:spacing w:after="120" w:line="276" w:lineRule="auto"/>
        <w:ind w:firstLine="709"/>
        <w:jc w:val="both"/>
      </w:pPr>
      <w:r>
        <w:rPr>
          <w:rFonts w:ascii="Times New Roman" w:hAnsi="Times New Roman"/>
          <w:b w:val="0"/>
          <w:i w:val="0"/>
          <w:sz w:val="24"/>
        </w:rPr>
        <w:t>Общество создано самим Должником [и его родственником] непосредственно перед передачей Имущества и не вело иной деятельности; воля Общества формировалась Должником, поэтому осведомлённость ответчика о цели сделки совпадает с осведомлённостью Должника.</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Верховный Суд Российской Федерации исходит из того, что наличие признаков неплатёжеспособности на дату сделки — лишь одна из презумпций цели причинения вреда; её отсутствие не исключает признания сделки недействительной, если совокупность обстоятельств свидетельствует о направленности сделки на вывод активов в ущерб кредиторам (определение от 12.03.2019 № 305-ЭС17-11710(4)). Фактическая аффилированность сторон доказывается не только через корпоративные связи, но и через поведение сторон, недоступное обычным (независимым) участникам оборота (определение от 15.06.2016 № 308-ЭС16-1475).</w:t>
      </w:r>
    </w:p>
    <w:p>
      <w:pPr>
        <w:spacing w:after="120" w:line="276" w:lineRule="auto"/>
        <w:ind w:firstLine="709"/>
        <w:jc w:val="both"/>
      </w:pPr>
      <w:r>
        <w:rPr>
          <w:rFonts w:ascii="Times New Roman" w:hAnsi="Times New Roman"/>
          <w:b w:val="0"/>
          <w:i w:val="0"/>
          <w:sz w:val="24"/>
        </w:rPr>
        <w:t>Элементы состава пункта 2 статьи 61.2 Закона о банкротстве доказаны: сделка совершена в трёхлетний период при неплатёжеспособности, в отношении заинтересованного лица, с сохранением контроля над имуществом; вред — замещение ликвидного объекта трудно реализуемой долей [и последующая утрата доли]; осведомлённость ответчика презюмируется.</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Создание общества исключительно для «упаковки» имущества должника с последующим выводом доли — классическая схема обхода закона (пункт 3 статьи 10 ГК РФ: «В случае, если злоупотребление правом выражается в совершении действий в обход закона с противоправной целью, последствия, предусмотренные пунктом 2 настоящей статьи, применяются, поскольку иные последствия таких действий не установлены настоящим Кодексом.»). Пунктом 8 Постановления № 25 разъяснено: «К сделке, совершенной в обход закона с противоправной целью, подлежат применению нормы гражданского законодательства, в обход которых она была совершена. В частности, такая сделка может быть признана недействительной на основании положений статьи 10 и пунктов 1 или 2 статьи 168 ГК РФ. При наличии в законе специального основания недействительности такая сделка признается недействительной по этому основанию (например, по правилам статьи 170 ГК РФ).»</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Имущество находится в собственности Общества, поэтому подлежит возврату в конкурсную массу в натуре; определение суда является основанием для внесения записи в ЕГРН. Доля Должника в Обществе [подлежит возврату Обществу / уже отчуждена, что не препятствует реституции Имущества]. [При невозможности возврата — взыскать с Общества действительную стоимость Имущества — [сумма] руб.]</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Общество контролируется Должником и его родственниками и может отчудить Имущество либо ликвидироваться с распределением имущества между участниками. Испрашиваемая мера в виде запрета Управлению Росреестра по [субъект] совершать регистрационные действия в отношении Имущества (кадастровый номер [__]) и запрета [регистрирующему органу] вносить записи о реорганизации и ликвидации Общества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Гражданского кодекса Российской Федерации, статьями 2, 19, 61.1, 61.2, 61.6, 61.8, 61.9,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регистрационные действия в отношении [Имущество, кадастровый номер]; запретить [регистрирующий орган] вносить в ЕГРЮЛ записи о реорганизации и ликвидации ООО «[наименование]»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недействительной сделку по внесению [Ф. И. О. Должника] [наименование Имущества] в уставный капитал ООО «[наименование]», оформленную решением от «[дата]» и актом приёма-передачи от «[дата]».</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обязать ООО «[наименование]» возвратить [Имущество] в конкурсную массу [Ф. И. О. Должника]; указать, что определение является основанием для внесения в ЕГРН записи о праве собственности [Ф. И. О. Должника] [при невозможности возврата — взыскать с Общества [сумма] руб.].</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Копии решения об учреждении Общества, устава, акта приёма-передачи Имущества, отчёта об оценке вклада; выписки из ЕГРЮЛ в отношении Общества.</w:t>
      </w:r>
    </w:p>
    <w:p>
      <w:pPr>
        <w:spacing w:after="40" w:line="276" w:lineRule="auto"/>
        <w:jc w:val="left"/>
      </w:pPr>
      <w:r>
        <w:rPr>
          <w:rFonts w:ascii="Times New Roman" w:hAnsi="Times New Roman"/>
          <w:b w:val="0"/>
          <w:i w:val="0"/>
          <w:sz w:val="24"/>
        </w:rPr>
        <w:t>4. Выписки из ЕГРН об Имуществе и переходе прав; отчёт об оценке рыночной стоимости Имущества.</w:t>
      </w:r>
    </w:p>
    <w:p>
      <w:pPr>
        <w:spacing w:after="40" w:line="276" w:lineRule="auto"/>
        <w:jc w:val="left"/>
      </w:pPr>
      <w:r>
        <w:rPr>
          <w:rFonts w:ascii="Times New Roman" w:hAnsi="Times New Roman"/>
          <w:b w:val="0"/>
          <w:i w:val="0"/>
          <w:sz w:val="24"/>
        </w:rPr>
        <w:t>5. Документы о последующем отчуждении доли Должника [если было]; сведения о директоре и участниках Общества; доказательства родства.</w:t>
      </w:r>
    </w:p>
    <w:p>
      <w:pPr>
        <w:spacing w:after="40" w:line="276" w:lineRule="auto"/>
        <w:jc w:val="left"/>
      </w:pPr>
      <w:r>
        <w:rPr>
          <w:rFonts w:ascii="Times New Roman" w:hAnsi="Times New Roman"/>
          <w:b w:val="0"/>
          <w:i w:val="0"/>
          <w:sz w:val="24"/>
        </w:rPr>
        <w:t>6. Бухгалтерская отчётность Общества (отсутствие иной деятельности).</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Ответчик — общество, получившее имущество (именно оно должно вернуть объект). Если доля затем перепродана, покупателя доли привлекайте третьим лицом либо вторым ответчиком — в зависимости от того, просите ли вы вернуть долю.</w:t>
      </w:r>
    </w:p>
    <w:p>
      <w:pPr>
        <w:spacing w:after="40" w:line="276" w:lineRule="auto"/>
        <w:jc w:val="both"/>
      </w:pPr>
      <w:r>
        <w:rPr>
          <w:rFonts w:ascii="Times New Roman" w:hAnsi="Times New Roman"/>
          <w:b w:val="0"/>
          <w:i/>
          <w:sz w:val="24"/>
        </w:rPr>
        <w:t>— Суды оценивают эквивалентность доли и внесённого имущества по действительной стоимости доли и степени контроля: доля в «семейном» ООО с директором-должником эквивалентом не считается.</w:t>
      </w:r>
    </w:p>
    <w:p>
      <w:pPr>
        <w:spacing w:after="40" w:line="276" w:lineRule="auto"/>
        <w:jc w:val="both"/>
      </w:pPr>
      <w:r>
        <w:rPr>
          <w:rFonts w:ascii="Times New Roman" w:hAnsi="Times New Roman"/>
          <w:b w:val="0"/>
          <w:i/>
          <w:sz w:val="24"/>
        </w:rPr>
        <w:t>— Для организаций-должников та же схема оспаривается конкурсным управляющим по ст. 61.9 с заменой вводных блоков.</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40" w:line="276" w:lineRule="auto"/>
        <w:jc w:val="both"/>
      </w:pPr>
      <w:r>
        <w:rPr>
          <w:rFonts w:ascii="Times New Roman" w:hAnsi="Times New Roman"/>
          <w:b w:val="0"/>
          <w:i/>
          <w:sz w:val="24"/>
        </w:rPr>
        <w:t>— Единственное жильё: по п. 4 постановления Пленума ВС РФ от 25.12.2018 № 48 сделка по отчуждению жилого помещения не признаётся недействительной, если в нём продолжают проживать должник и его семья и при возврате оно будет защищено исполнительским иммунитетом (ст. 446 ГПК РФ). Проверьте, не является ли объект единственным жильём должника.</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