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[+ 15 000 руб. за ходатайство об обеспечительных мерах: подп. 17 п. 1 ст. 333.21 НК РФ с учётом подп. 9 п. 1]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сделок по возврату займа аффилированному лицу и применении последствий недействительности сделок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[Ф. И. О. ответчика] является участником Должника с долей [__] % [и его генеральным директором] (выписка из ЕГРЮЛ). По договору займа от «[дата]» № [__] ответчик предоставил Должнику [сумма] руб. со сроком возврата «[дата]» [без установления срока]. В период с «[дата]» по «[дата]» Должник возвратил ответчику [сумма] руб. [__] платежами с назначением «возврат займа» (выписка по счёту — приложение). Платежи совершены в течение шести месяцев до принятия заявления о признании Должника банкротом («[дата]»), [в том числе досрочно — до наступления срока возврата].</w:t>
      </w:r>
    </w:p>
    <w:p>
      <w:pPr>
        <w:spacing w:after="120" w:line="276" w:lineRule="auto"/>
        <w:ind w:firstLine="709"/>
        <w:jc w:val="both"/>
      </w:pPr>
      <w:r>
        <w:rPr>
          <w:rFonts w:ascii="Times New Roman" w:hAnsi="Times New Roman"/>
          <w:b w:val="0"/>
          <w:i w:val="0"/>
          <w:sz w:val="24"/>
        </w:rPr>
        <w:t>Платёж — сделка, направленная на исполнение обязательства (пункт 3 статьи 61.1 Закона о банкротстве: «Правила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w:t>
      </w:r>
    </w:p>
    <w:p>
      <w:pPr>
        <w:spacing w:after="120" w:line="276" w:lineRule="auto"/>
        <w:jc w:val="center"/>
      </w:pPr>
      <w:r>
        <w:rPr>
          <w:rFonts w:ascii="Times New Roman" w:hAnsi="Times New Roman"/>
          <w:b/>
          <w:i w:val="0"/>
          <w:sz w:val="24"/>
        </w:rPr>
        <w:t>II. Наличие иных кредиторов и неплатёжеспособность Должника на дату платежей</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ind w:firstLine="709"/>
        <w:jc w:val="both"/>
      </w:pPr>
      <w:r>
        <w:rPr>
          <w:rFonts w:ascii="Times New Roman" w:hAnsi="Times New Roman"/>
          <w:b w:val="0"/>
          <w:i w:val="0"/>
          <w:sz w:val="24"/>
        </w:rPr>
        <w:t>Требования этих кредиторов к моменту платежей не были исполнены и впоследствии включены в реестр. Возвращая заём участнику, Должник одновременно не исполнял обязательства перед независимыми кредиторами с наступившими сроками.</w:t>
      </w:r>
    </w:p>
    <w:p>
      <w:pPr>
        <w:spacing w:after="120" w:line="276" w:lineRule="auto"/>
        <w:jc w:val="center"/>
      </w:pPr>
      <w:r>
        <w:rPr>
          <w:rFonts w:ascii="Times New Roman" w:hAnsi="Times New Roman"/>
          <w:b/>
          <w:i w:val="0"/>
          <w:sz w:val="24"/>
        </w:rPr>
        <w:t>III. Предпочтение</w:t>
      </w:r>
    </w:p>
    <w:p>
      <w:pPr>
        <w:spacing w:after="120" w:line="276" w:lineRule="auto"/>
        <w:ind w:firstLine="709"/>
        <w:jc w:val="both"/>
      </w:pPr>
      <w:r>
        <w:rPr>
          <w:rFonts w:ascii="Times New Roman" w:hAnsi="Times New Roman"/>
          <w:b w:val="0"/>
          <w:i w:val="0"/>
          <w:sz w:val="24"/>
        </w:rPr>
        <w:t>Требование ответчика из договора займа при банкротстве подлежало бы [понижению в очерёдности как требование о возврате компенсационного финансирования — пункт 3.1 Обзора судебной практики, утверждённого Президиумом Верховного Суда Российской Федерации 29.01.2020, / включению в третью очередь и пропорциональному удовлетворению в размере [__] %]. Получив [сумма] руб. в полном объёме, ответчик получил предпочтение перед другими кредиторами в размере [сумма] руб. [Досрочный возврат также привёл к удовлетворению требования, срок исполнения которого не наступил, при наличии просроченных обязательств перед другими кредиторами — абзац четвёртый пункта 1 статьи 61.3 Закона о банкротстве.]</w:t>
      </w:r>
    </w:p>
    <w:p>
      <w:pPr>
        <w:spacing w:after="120" w:line="276" w:lineRule="auto"/>
        <w:jc w:val="center"/>
      </w:pPr>
      <w:r>
        <w:rPr>
          <w:rFonts w:ascii="Times New Roman" w:hAnsi="Times New Roman"/>
          <w:b/>
          <w:i w:val="0"/>
          <w:sz w:val="24"/>
        </w:rPr>
        <w:t>IV. Осведомлённость ответчика о неплатёжеспособности Должника</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Пунктами 1 и 2 статьи 19 Закона о банкротстве установлено: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N 135-ФЗ "О защите конкуренции" входит в одну группу лиц с должником; лицо, которое является аффилированным лицом должника. 2. 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физическими лицами, указанными в абзаце втором настоящего пункта, в отношениях, определенных пунктом 3 настоящей статьи». Ответчик [входит в одну группу лиц с Должником / является участником (руководителем) Должника / контролируется тем же лицом — [Ф. И. О.] / является супругом (родственником) руководителя Должника], что подтверждается выписками из ЕГРЮЛ, [списком участников, сведениями ЗАГС]. Осведомлённость заинтересованного лица о цели причинения вреда кредиторам презюмируется (абзац первый пункта 2 статьи 61.2 Закона о банкротстве, пункт 7 Постановления № 63).</w:t>
      </w:r>
    </w:p>
    <w:p>
      <w:pPr>
        <w:spacing w:after="120" w:line="276" w:lineRule="auto"/>
        <w:ind w:firstLine="709"/>
        <w:jc w:val="both"/>
      </w:pPr>
      <w:r>
        <w:rPr>
          <w:rFonts w:ascii="Times New Roman" w:hAnsi="Times New Roman"/>
          <w:b w:val="0"/>
          <w:i w:val="0"/>
          <w:sz w:val="24"/>
        </w:rPr>
        <w:t>Ответчик как участник [и руководитель] Должника располагал полной информацией о его финансовом состоянии: подписывал бухгалтерскую отчётность, знал о претензиях и исках кредиторов, о картотеке по счёту. Абзацем вторым пункта 3 статьи 61.3 Закона о банкротстве установлено: «Предполагается, что заинтересованное лицо знало о признаке неплатежеспособности или недостаточности имущества, если не доказано обратное.»</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статья 61.3 Закона о банкротстве.</w:t>
      </w:r>
      <w:r>
        <w:rPr>
          <w:rFonts w:ascii="Times New Roman" w:hAnsi="Times New Roman"/>
          <w:b w:val="0"/>
          <w:i w:val="0"/>
          <w:sz w:val="24"/>
        </w:rPr>
        <w:t xml:space="preserve"> Пунктом 1 статьи 61.3 Закона о банкротстве установлено: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pPr>
        <w:spacing w:after="120" w:line="276" w:lineRule="auto"/>
        <w:ind w:firstLine="709"/>
        <w:jc w:val="both"/>
      </w:pPr>
      <w:r>
        <w:rPr>
          <w:rFonts w:ascii="Times New Roman" w:hAnsi="Times New Roman"/>
          <w:b w:val="0"/>
          <w:i w:val="0"/>
          <w:sz w:val="24"/>
        </w:rPr>
        <w:t>Пунктом 3 статьи 61.3 Закона о банкротстве предусмотрено: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Предполагается, что заинтересованное лицо знало о признаке неплатежеспособности или недостаточности имущества, если не доказано обратное.» Пунктом 12 Постановления № 63 разъяснено: «Если сделка с предпочтением была совершена не ранее чем за шесть месяцев и не позднее чем за один месяц до принятия судом заявления о признании должника банкротом, то в силу пункта 3 статьи 61.3 Закона о банкротстве она может быть признана недействительной, только если: а) в наличии имеются условия, предусмотренные абзацами вторым или третьим пункта 1 статьи 61.3 Закона о банкротстве; б) или имеются иные условия, соответствующие требованиям пункта 1 статьи 61.3, и при этом оспаривающим сделку лицом доказано, что на момент совершения сделки кредитору или иному лицу, в отношении которого совершена такая сделка, было или должно было быть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При решении вопроса о том, должен ли был кредитор знать об указанных обстоятельствах, во внимание принимается то, насколько он мог, действуя разумно и проявляя требующуюся от него по условиям оборота осмотрительность, установить наличие этих обстоятельств. К числу фактов, свидетельствующих в пользу такого знания кредитора, могут с учетом всех обстоятельств дела относиться следующие: неоднократное обращение должника к кредитору с просьбой об отсрочке долга по причине невозможности уплаты его в изначально установленный срок; известное кредитору (кредитной организации) длительное наличие картотеки по банковскому счету должника (в том числе скрытой); осведомленность кредитора о том, что должник подал заявление о признании себя банкротом.»</w:t>
      </w:r>
    </w:p>
    <w:p>
      <w:pPr>
        <w:spacing w:after="120" w:line="276" w:lineRule="auto"/>
        <w:ind w:firstLine="709"/>
        <w:jc w:val="both"/>
      </w:pPr>
      <w:r>
        <w:rPr>
          <w:rFonts w:ascii="Times New Roman" w:hAnsi="Times New Roman"/>
          <w:b w:val="0"/>
          <w:i w:val="0"/>
          <w:sz w:val="24"/>
        </w:rPr>
        <w:t>Согласно пункту 10 Постановления № 63 «Применяя перечень условий, когда имеет место оказание предпочтения одному из кредиторов перед другими кредиторами, приведенный в абзацах втором - пятом пункта 1 указанной статьи, судам следует иметь в виду, что для признания наличия такого предпочтения достаточно хотя бы одного из этих условий. Бремя доказывания того, что сделка влечет или может повлечь за собой оказание предпочтения, лежит на оспаривающем ее лице.»</w:t>
      </w:r>
    </w:p>
    <w:p>
      <w:pPr>
        <w:spacing w:after="120" w:line="276" w:lineRule="auto"/>
        <w:ind w:firstLine="709"/>
        <w:jc w:val="both"/>
      </w:pPr>
      <w:r>
        <w:rPr>
          <w:rFonts w:ascii="Times New Roman" w:hAnsi="Times New Roman"/>
          <w:b w:val="0"/>
          <w:i w:val="0"/>
          <w:sz w:val="24"/>
        </w:rPr>
        <w:t>Все условия пункта 3 статьи 61.3 Закона о банкротстве соблюдены: сделки совершены в шестимесячный период, повлекли предпочтительное удовлетворение требования одного кредитора, а ответчик как заинтересованное лицо знал о признаках неплатёжеспособности Должника (презумпция абзаца второго пункта 3 статьи 61.3). Пунктом 9.1 Постановления № 63 разъяснено: «Если же сделка с предпочтением была совершена не ранее чем за три года, но не позднее чем за шесть месяцев до принятия заявления о признании банкротом, то она может быть признана недействительной только на основании пункта 2 статьи 61.2 Закона о банкротстве при доказанности всех предусмотренных им обстоятельств (с учетом пунктов 5 - 7 настоящего постановления). При этом, применяя такой признак наличия цели причинить вред имущественным правам кредиторов, как безвозмездность оспариваемой сделки, необходимо учитывать, что для целей определения этого признака платеж во исполнение как денежного обязательства, так и обязательного платежа приравнивается к возмездной сделке (кроме платежа во исполнение обещания дарения).»</w:t>
      </w:r>
    </w:p>
    <w:p>
      <w:pPr>
        <w:spacing w:after="120" w:line="276" w:lineRule="auto"/>
        <w:ind w:firstLine="709"/>
        <w:jc w:val="both"/>
      </w:pPr>
      <w:r>
        <w:rPr>
          <w:rFonts w:ascii="Times New Roman" w:hAnsi="Times New Roman"/>
          <w:b/>
          <w:i w:val="0"/>
          <w:sz w:val="24"/>
        </w:rPr>
        <w:t>Сделка не относится к обычной хозяйственной деятельности.</w:t>
      </w:r>
      <w:r>
        <w:rPr>
          <w:rFonts w:ascii="Times New Roman" w:hAnsi="Times New Roman"/>
          <w:b w:val="0"/>
          <w:i w:val="0"/>
          <w:sz w:val="24"/>
        </w:rPr>
        <w:t xml:space="preserve"> Пунктом 2 статьи 61.4 Закона о банкротстве установлено: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 статьи 61.3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Пунктом 14 Постановления № 63 разъяснено: «Согласно пункту 2 статьи 61.4 Закона о банкротстве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или статьи 61.3 Закона о банкротстве,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Бремя доказывания того, что сделка была совершена в процессе обычной хозяйственной деятельности, осуществляемой должником, лежит на другой стороне сделки. Бремя доказывания того, что цена сделки превысила один процент стоимости активов должника, лежит на оспаривающем сделку лице. При определении того, была ли сделка совершена в процессе обычной хозяйственной деятельности должника, следует учитывать, что таковой является сделка, не отличающаяся существенно по своим основным условиям от аналогичных сделок, неоднократно совершавшихся до этого должником в течение продолжительного периода времени. К таким сделкам, в частности, с учетом всех обстоятельств дела могут быть отнесены платежи по длящимся обязательствам (возврат очередной части кредита в соответствии с графиком, уплата ежемесячной арендной платы, выплата заработной платы, оплата коммунальных услуг, платежи за услуги сотовой связи и Интернет, уплата налогов и т.п.). Не могут быть, по общему правилу, отнесены к таким сделкам платеж со значительной просрочкой, предоставление отступного, а также не обоснованный разумными экономическими причинами досрочный возврат кредита.» Оспариваемый платёж [превышает один процент стоимости активов Должника по балансу на последнюю отчётную дату ([сумма] руб. — приложение) / совершён со значительной просрочкой / является досрочным возвратом долга / предоставлением отступного], поэтому исключение пункта 2 статьи 61.4 Закона о банкротстве не применяется.</w:t>
      </w:r>
    </w:p>
    <w:p>
      <w:pPr>
        <w:spacing w:after="120" w:line="276" w:lineRule="auto"/>
        <w:ind w:firstLine="709"/>
        <w:jc w:val="both"/>
      </w:pPr>
      <w:r>
        <w:rPr>
          <w:rFonts w:ascii="Times New Roman" w:hAnsi="Times New Roman"/>
          <w:b w:val="0"/>
          <w:i w:val="0"/>
          <w:sz w:val="24"/>
        </w:rPr>
        <w:t>Возврат займа участнику, тем более досрочный и в условиях неплатёжеспособности, не может быть отнесён к обычной хозяйственной деятельности (пункт 14 Постановления № 63 прямо называет не обоснованный разумными экономическими причинами досрочный возврат кредита).</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Дополнительно платежи отвечают составу пункта 2 статьи 61.2 Закона о банкротстве: совершены в пользу заинтересованного лица при неплатёжеспособности, причинили вред кредиторам (уменьшение конкурсной массы на [сумма] руб.) при презюмируемой осведомлённости ответчика. Согласно пункту 9.1 Постановления № 63 суд проверяет наличие обоих оснований.</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Пунктом 4 статьи 61.6 Закона о банкротстве установлено: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требования кредитора по этому обязательству к должнику считается существовавшим независимо от совершения данной сделки.» Пунктом 25 Постановления № 63 разъяснено: «В связи с этим в случае признания на основании статей 61.2 или 61.3 Закона о банкротстве недействительными действий должника по уплате денег, передаче вещей или иному исполнению обязательства, а также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восстановленным с момента совершения недействительной сделки, а право требования кредитора по этому обязательству к должнику (далее - восстановленное требование) считается существовавшим независимо от совершения этой сделки (абзац первый пункта 4 статьи 61.6 Закона о банкротстве).»</w:t>
      </w:r>
    </w:p>
    <w:p>
      <w:pPr>
        <w:spacing w:after="120" w:line="276" w:lineRule="auto"/>
        <w:ind w:firstLine="709"/>
        <w:jc w:val="both"/>
      </w:pPr>
      <w:r>
        <w:rPr>
          <w:rFonts w:ascii="Times New Roman" w:hAnsi="Times New Roman"/>
          <w:b w:val="0"/>
          <w:i w:val="0"/>
          <w:sz w:val="24"/>
        </w:rPr>
        <w:t>Пунктом 2 статьи 61.6 Закона о банкротстве установлено: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2 статьи 61.2 и пункта 3 статьи 61.3 настоящего Федерального закона,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после удовлетворения требований кредиторов третьей очереди, включенных в реестр требований кредиторов.» Пунктом 26 Постановления № 63 разъяснено: «В случае, когда упомянутая в предыдущем пункте сделка была признана недействительной на основании пункта 2 статьи 61.2 или пункта 3 статьи 61.3 Закона о банкротстве, восстановленное требование подлежит включению в реестр требований кредиторов, но удовлетворяется за счет имущества должника, оставшегося после удовлетворения требований кредиторов третьей очереди, включенных в реестр, то есть в очередности, предусмотренной пунктом 4 статьи 142 Закона о банкротстве (пункт 2 статьи 61.6); такое требование может быть предъявлено к должнику в порядке, предусмотренном статьей 100 Закона о банкротстве, в любое время в ходе внешнего управления или конкурсного производства. Указанное требование не предоставляет права голоса на собрании кредиторов.»</w:t>
      </w:r>
    </w:p>
    <w:p>
      <w:pPr>
        <w:spacing w:after="120" w:line="276" w:lineRule="auto"/>
        <w:ind w:firstLine="709"/>
        <w:jc w:val="both"/>
      </w:pPr>
      <w:r>
        <w:rPr>
          <w:rFonts w:ascii="Times New Roman" w:hAnsi="Times New Roman"/>
          <w:b w:val="0"/>
          <w:i w:val="0"/>
          <w:sz w:val="24"/>
        </w:rPr>
        <w:t>С ответчика подлежит взысканию в конкурсную массу [сумма] руб.; его восстановленное требование из договора займа подлежит удовлетворению после требований кредиторов третьей очереди, включённых в реестр (пункт 2 статьи 61.6 Закона о банкротстве), и не даёт права голоса (пункт 26 Постановления № 63).</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ответчик — контролирующее Должника лицо, осведомлённое о споре, и может вывести полученные средства. Испрашиваемая мера в виде наложения ареста на денежные средства и имущество ответчика в пределах [сумма] руб.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 За ходатайство об обеспечительных мерах пошлина составляет 15 000 руб. (подп. 17 п. 1 ст. 333.21 НК РФ — 30 000 руб. — с учётом подп. 9 п. 1 той же статьи).</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395, 807, 810 Гражданского кодекса Российской Федерации, статьями 2, 19, 61.1, 61.2, 61.3, 61.4, 61.6, 61.8, 61.9, 129 Федерального закона «О несостоятельности (банкротстве)», статьями 65, 90, 91, 92,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наложить арест на денежные средства и иное имущество [Ф. И. О. ответчика] в пределах [сумма] руб.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недействительными сделки по перечислению [наименование Должника] в пользу [Ф. И. О. ответчика] денежных средств в возврат займа по договору от «[дата]» № [__]: «[дата]» — [__] руб., «[дата]» — [__] руб., […] на общую сумму [сумма] руб.</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сделок: взыскать с [Ф. И. О. ответчика] в конкурсную массу [наименование Должника] [сумма] руб.; восстановить задолженность [наименование Должника] перед [Ф. И. О. ответчика] по договору займа от «[дата]» № [__] в размере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Выписка по расчётному счёту Должника; платёжные поручения; реестр оспариваемых платежей.</w:t>
      </w:r>
    </w:p>
    <w:p>
      <w:pPr>
        <w:spacing w:after="40" w:line="276" w:lineRule="auto"/>
        <w:jc w:val="left"/>
      </w:pPr>
      <w:r>
        <w:rPr>
          <w:rFonts w:ascii="Times New Roman" w:hAnsi="Times New Roman"/>
          <w:b w:val="0"/>
          <w:i w:val="0"/>
          <w:sz w:val="24"/>
        </w:rPr>
        <w:t>4. Копия договора займа и документов о его выдаче; выписка из ЕГРЮЛ в отношении Должника (участие и полномочия ответчика).</w:t>
      </w:r>
    </w:p>
    <w:p>
      <w:pPr>
        <w:spacing w:after="40" w:line="276" w:lineRule="auto"/>
        <w:jc w:val="left"/>
      </w:pPr>
      <w:r>
        <w:rPr>
          <w:rFonts w:ascii="Times New Roman" w:hAnsi="Times New Roman"/>
          <w:b w:val="0"/>
          <w:i w:val="0"/>
          <w:sz w:val="24"/>
        </w:rPr>
        <w:t>5. Доказательства наличия иных кредиторов с наступившими сроками на даты платежей (судебные акты, претензии, требования, реестр).</w:t>
      </w:r>
    </w:p>
    <w:p>
      <w:pPr>
        <w:spacing w:after="40" w:line="276" w:lineRule="auto"/>
        <w:jc w:val="left"/>
      </w:pPr>
      <w:r>
        <w:rPr>
          <w:rFonts w:ascii="Times New Roman" w:hAnsi="Times New Roman"/>
          <w:b w:val="0"/>
          <w:i w:val="0"/>
          <w:sz w:val="24"/>
        </w:rPr>
        <w:t>6. Бухгалтерская отчётность Должника за период платежей (признаки неплатёжеспособности, расчёт 1 % активов).</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аффилированного получателя осведомлённость презюмируется (абз. 2 п. 3 ст. 61.3), поэтому шестимесячный период работает почти так же, как месячный. Если получатель — независимый кредитор, доказывайте, что он знал о неплатёжеспособности (картотека, просрочки, иски — п. 12 Постановления № 63).</w:t>
      </w:r>
    </w:p>
    <w:p>
      <w:pPr>
        <w:spacing w:after="40" w:line="276" w:lineRule="auto"/>
        <w:jc w:val="both"/>
      </w:pPr>
      <w:r>
        <w:rPr>
          <w:rFonts w:ascii="Times New Roman" w:hAnsi="Times New Roman"/>
          <w:b w:val="0"/>
          <w:i/>
          <w:sz w:val="24"/>
        </w:rPr>
        <w:t>— Одновременно ссылайтесь на п. 2 ст. 61.2: это страхует от доводов об обычной хозяйственной деятельности, которые к ст. 61.2 не применяются.</w:t>
      </w:r>
    </w:p>
    <w:p>
      <w:pPr>
        <w:spacing w:after="40" w:line="276" w:lineRule="auto"/>
        <w:jc w:val="both"/>
      </w:pPr>
      <w:r>
        <w:rPr>
          <w:rFonts w:ascii="Times New Roman" w:hAnsi="Times New Roman"/>
          <w:b w:val="0"/>
          <w:i/>
          <w:sz w:val="24"/>
        </w:rPr>
        <w:t>— Если заём участника был компенсационным финансированием (выдан в кризис), укажите на субординацию его требования — предпочтение становится очевидным (Обзор ВС РФ от 29.01.2020).</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