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Ответчик 2: </w:t>
      </w:r>
      <w:r>
        <w:rPr>
          <w:rFonts w:ascii="Times New Roman" w:hAnsi="Times New Roman"/>
          <w:b w:val="0"/>
          <w:i w:val="0"/>
          <w:sz w:val="24"/>
        </w:rPr>
        <w:t>[Ф. И. О. лица, получившего долю]</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выхода участника из общества и решения о распределении доли, применении последствий недействительности сделок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Должник являлся участником ООО «[наименование]» (ОГРН [__], далее — Общество, ответчик 1) с долей [__] % уставного капитала. «[дата]» Должник подал нотариально удостоверенное заявление о выходе из Общества; «[дата]» в ЕГРЮЛ внесена запись о переходе доли к Обществу (ГРН [__]). Пунктом 1 статьи 26 Федерального закона от 08.02.1998 № 14-ФЗ «Об обществах с ограниченной ответственностью» (далее — Закон об ООО) установлено: «Участник общества вправе выйти из общества путем отчуждения доли обществу независимо от согласия других его участников или общества, если это предусмотрено уставом общества. Заявление участника общества о выходе из общества должно быть нотариально удостоверено по правилам, предусмотренным законодательством о нотариате для удостоверения сделок.» Пунктом 6.1 статьи 23 Закона об ООО предусмотрено: «В случае выхода участника общества из общества в соответствии со статьей 26 настоящего Федерального закона его доля переходит к обществу. При этом общество обязано выплатить вышедшему из общества участнику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дате перехода к обществу доли вышедшего из общества участника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обязанности, если иной срок или порядок выплаты действительной стоимости доли или части доли не предусмотрен уставом общества.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pPr>
        <w:spacing w:after="120" w:line="276" w:lineRule="auto"/>
        <w:ind w:firstLine="709"/>
        <w:jc w:val="both"/>
      </w:pPr>
      <w:r>
        <w:rPr>
          <w:rFonts w:ascii="Times New Roman" w:hAnsi="Times New Roman"/>
          <w:b w:val="0"/>
          <w:i w:val="0"/>
          <w:sz w:val="24"/>
        </w:rPr>
        <w:t>Действительная стоимость доли Должнику не выплачена [выплачена в размере [сумма] руб., что в [__] раз меньше действительной стоимости]. Абзацем вторым пункта 2 статьи 14 Закона об ООО установлено: «Действительная стоимость доли участника общества соответствует части стоимости чистых активов общества, пропорциональной размеру его доли, если иное не установлено настоящим Федеральным законом.» Стоимость чистых активов Общества на последнюю отчётную дату перед выходом — [сумма] руб. (баланс за [год]); действительная стоимость доли Должника — не менее [сумма] руб. Обществу принадлежат [недвижимость / транспорт / оборудование] стоимостью [сумма] руб.</w:t>
      </w:r>
    </w:p>
    <w:p>
      <w:pPr>
        <w:spacing w:after="120" w:line="276" w:lineRule="auto"/>
        <w:ind w:firstLine="709"/>
        <w:jc w:val="both"/>
      </w:pPr>
      <w:r>
        <w:rPr>
          <w:rFonts w:ascii="Times New Roman" w:hAnsi="Times New Roman"/>
          <w:b w:val="0"/>
          <w:i w:val="0"/>
          <w:sz w:val="24"/>
        </w:rPr>
        <w:t>«[дата]» решением [единственного оставшегося участника / общего собрания] перешедшая к Обществу доля распределена [продана за [сумма] руб.] [Ф. И. О. ответчика 2] — [сыну / супруге / брату] Должника, который стал [единственным] участником Общества (запись ГРН [__] от «[дата]»). [Должник остался генеральным директором Общества / продолжает фактически руководить им.]</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w:t>
      </w:r>
    </w:p>
    <w:p>
      <w:pPr>
        <w:spacing w:after="120" w:line="276" w:lineRule="auto"/>
        <w:jc w:val="center"/>
      </w:pPr>
      <w:r>
        <w:rPr>
          <w:rFonts w:ascii="Times New Roman" w:hAnsi="Times New Roman"/>
          <w:b/>
          <w:i w:val="0"/>
          <w:sz w:val="24"/>
        </w:rPr>
        <w:t>II. Неисполненные обязательства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В результате выхода из Общества Должник утратил корпоративный актив действительной стоимостью [сумма] руб., получив [ничего / [сумма] руб.]. Абзац второй пункта 2 статьи 61.2 Закона о банкротстве прямо называет сделку, направленную на выплату (выдел) доли участнику в связи с выходом, в числе сделок, при которых цель причинения вреда предполагается; тем более такая цель очевидна, когда доля передана обществу без эквивалента, а затем оказалась у родственника Должника. Доля, оставшись у Должника, подлежала бы включению в конкурсную массу и продаже на торгах (статьи 213.25, 213.26 Закона о банкротстве).</w:t>
      </w:r>
    </w:p>
    <w:p>
      <w:pPr>
        <w:spacing w:after="120" w:line="276" w:lineRule="auto"/>
        <w:jc w:val="center"/>
      </w:pPr>
      <w:r>
        <w:rPr>
          <w:rFonts w:ascii="Times New Roman" w:hAnsi="Times New Roman"/>
          <w:b/>
          <w:i w:val="0"/>
          <w:sz w:val="24"/>
        </w:rPr>
        <w:t>IV. Заинтересованность ответчиков и осведомлённость о цели сделок</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Ответчик 1 (Общество) на дату выхода контролировалось Должником [как участником с долей [__] % и директором], поэтому знало о его финансовом положении и о цели выхода (пункты 1, 2 статьи 19 Закона о банкротстве). Ответчик 2 — близкий родственник Должника, получивший контроль над бизнесом без какой-либо оплаты.</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Выход из Общества и распределение доли — взаимосвязанные сделки, совершённые с единой целью: вывести ликвидный актив из имущества Должника и закрепить его за членом семьи при сохранении фактического контроля. Они подлежат оспариванию совместно как единая сделка (пункт 88 Постановления № 25: «Применяя правила о притворных сделках, следует учитывать, что для прикрытия сделки может быть совершена не только одна, но и несколько сделок. В таком случае прикрывающие сделки являются ничтожными, а к сделке, которую стороны действительно имели в виду, с учетом ее существа и содержания применяются относящиеся к ней правила (пункт 2 статьи 170 ГК РФ).»). Все элементы состава пункта 2 статьи 61.2 Закона о банкротстве доказаны.</w:t>
      </w:r>
    </w:p>
    <w:p>
      <w:pPr>
        <w:spacing w:after="120" w:line="276" w:lineRule="auto"/>
        <w:ind w:firstLine="709"/>
        <w:jc w:val="both"/>
      </w:pPr>
      <w:r>
        <w:rPr>
          <w:rFonts w:ascii="Times New Roman" w:hAnsi="Times New Roman"/>
          <w:b/>
          <w:i w:val="0"/>
          <w:sz w:val="24"/>
        </w:rPr>
        <w:t>Притворность сделки (пункт 2 статьи 170 ГК РФ).</w:t>
      </w:r>
      <w:r>
        <w:rPr>
          <w:rFonts w:ascii="Times New Roman" w:hAnsi="Times New Roman"/>
          <w:b w:val="0"/>
          <w:i w:val="0"/>
          <w:sz w:val="24"/>
        </w:rPr>
        <w:t xml:space="preserve"> Пунктом 2 статьи 170 ГК РФ установлено: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Пунктом 87 Постановления № 25 разъяснено: «Согласно пункту 2 статьи 170 ГК РФ притворная сделка, то есть сделка, которая совершена с целью прикрыть другую сделку, в том числе сделку на иных условиях, с иным субъектным составом, ничтожна.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Намерения одного участника совершить притворную сделку для применения указанной нормы недостаточно. К сделке, которую стороны действительно имели в виду (прикрываемая сделка), с учетом ее существа и содержания применяются относящиеся к ней правила (пункт 2 статьи 170 ГК РФ). Прикрываемая сделка может быть также признана недействительной по основаниям, установленным ГК РФ или специальными законами.» Согласно пункту 88 Постановления № 25 «Применяя правила о притворных сделках, следует учитывать, что для прикрытия сделки может быть совершена не только одна, но и несколько сделок. В таком случае прикрывающие сделки являются ничтожными, а к сделке, которую стороны действительно имели в виду, с учетом ее существа и содержания применяются относящиеся к ней правила (пункт 2 статьи 170 ГК РФ).»</w:t>
      </w:r>
    </w:p>
    <w:p>
      <w:pPr>
        <w:spacing w:after="120" w:line="276" w:lineRule="auto"/>
        <w:ind w:firstLine="709"/>
        <w:jc w:val="both"/>
      </w:pPr>
      <w:r>
        <w:rPr>
          <w:rFonts w:ascii="Times New Roman" w:hAnsi="Times New Roman"/>
          <w:b w:val="0"/>
          <w:i w:val="0"/>
          <w:sz w:val="24"/>
        </w:rPr>
        <w:t>Выход с последующим распределением доли родственнику прикрывает прямое безвозмездное отчуждение доли Должником ответчику 2 (дарение), совершённое в обход правил о нотариальной форме и о недопустимости безвозмездного вывода имущества при неплатёжеспособности.</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Верховный Суд Российской Федерации указывает, что безвозмездность приобретения корпоративного контроля исключает добросовестность приобретателя доли и допускает восстановление корпоративного контроля Должника (пункт 3 статьи 65.2 ГК РФ: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 определение от 04.07.2025 № 307-ЭС20-2469).</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сделок является восстановление Должника в правах участника Общества с долей [__] % и возврат этой доли в конкурсную массу с одновременным лишением ответчика 2 права на неё; определение суда — основание для внесения изменений в ЕГРЮЛ (подпункт 5 пункта 13.1 статьи 21 Закона об ООО). [Выплаченная Должнику сумма [сумма] руб. подлежит возврату Обществу в порядке пункта 2 статьи 61.6 Закона о банкротстве.]</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доля может быть перепродана, Общество — реорганизовано или ликвидировано, а его активы выведены, что лишит смысла восстановление Должника в правах участника. Испрашиваемая мера в виде запрета [регистрирующему органу] вносить в ЕГРЮЛ изменения в сведения об участниках Общества и о размере их долей, о реорганизации и ликвидации Общества, а также запрета ответчику 2 отчуждать и обременять долю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65.2, 166, 167, 168, 170 Гражданского кодекса Российской Федерации, статьями 2, 19, 61.1, 61.2, 61.6, 61.8, 213.9, 213.25,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[наименование регистрирующего органа] вносить в ЕГРЮЛ изменения в сведения об участниках ООО «[наименование]» (ОГРН [__]) и размере их долей, записи о реорганизации и ликвидации Общества; запретить [Ф. И. О. ответчика 2] отчуждать и обременять долю в уставном капитале Общества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недействительными сделку по выходу [Ф. И. О. Должника] из ООО «[наименование]» (заявление от «[дата]») и решение [участника / общего собрания] от «[дата]» о распределении (продаже) доли в размере [__] % [Ф. И. О. ответчика 2].</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восстановить [Ф. И. О. Должника] в правах участника ООО «[наименование]» с долей [__] % уставного капитала с одновременным лишением [Ф. И. О. ответчика 2] права на эту долю; указать, что определение является основанием для внесения изменений в ЕГРЮЛ.</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Выписки из ЕГРЮЛ в отношении Общества (на дату выхода, на дату распределения доли, актуальная); копии заявления о выходе, решения о распределении доли, листов записи ЕГРЮЛ.</w:t>
      </w:r>
    </w:p>
    <w:p>
      <w:pPr>
        <w:spacing w:after="40" w:line="276" w:lineRule="auto"/>
        <w:jc w:val="left"/>
      </w:pPr>
      <w:r>
        <w:rPr>
          <w:rFonts w:ascii="Times New Roman" w:hAnsi="Times New Roman"/>
          <w:b w:val="0"/>
          <w:i w:val="0"/>
          <w:sz w:val="24"/>
        </w:rPr>
        <w:t>4. Бухгалтерская отчётность Общества, расчёт чистых активов и действительной стоимости доли; сведения об имуществе Общества.</w:t>
      </w:r>
    </w:p>
    <w:p>
      <w:pPr>
        <w:spacing w:after="40" w:line="276" w:lineRule="auto"/>
        <w:jc w:val="left"/>
      </w:pPr>
      <w:r>
        <w:rPr>
          <w:rFonts w:ascii="Times New Roman" w:hAnsi="Times New Roman"/>
          <w:b w:val="0"/>
          <w:i w:val="0"/>
          <w:sz w:val="24"/>
        </w:rPr>
        <w:t>5. Доказательства невыплаты действительной стоимости доли (выписки по счетам Должника); доказательства родства с ответчиком 2 и сохранения Должником управления Обществом.</w:t>
      </w:r>
    </w:p>
    <w:p>
      <w:pPr>
        <w:spacing w:after="40" w:line="276" w:lineRule="auto"/>
        <w:jc w:val="left"/>
      </w:pPr>
      <w:r>
        <w:rPr>
          <w:rFonts w:ascii="Times New Roman" w:hAnsi="Times New Roman"/>
          <w:b w:val="0"/>
          <w:i w:val="0"/>
          <w:sz w:val="24"/>
        </w:rPr>
        <w:t>6.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Ответчиков два: общество (в чью пользу совершён выход) и лицо, получившее долю. Оспаривайте обе сделки как единую — иначе возврат доли упрётся в права нового участника.</w:t>
      </w:r>
    </w:p>
    <w:p>
      <w:pPr>
        <w:spacing w:after="40" w:line="276" w:lineRule="auto"/>
        <w:jc w:val="both"/>
      </w:pPr>
      <w:r>
        <w:rPr>
          <w:rFonts w:ascii="Times New Roman" w:hAnsi="Times New Roman"/>
          <w:b w:val="0"/>
          <w:i/>
          <w:sz w:val="24"/>
        </w:rPr>
        <w:t>— Если действительная стоимость доли выплачена, но занижена — дополнительно требуйте взыскания разницы с общества либо оспаривайте расчёт стоимости (п. 2 ст. 14, п. 6.1 ст. 23 Закона об ООО).</w:t>
      </w:r>
    </w:p>
    <w:p>
      <w:pPr>
        <w:spacing w:after="40" w:line="276" w:lineRule="auto"/>
        <w:jc w:val="both"/>
      </w:pPr>
      <w:r>
        <w:rPr>
          <w:rFonts w:ascii="Times New Roman" w:hAnsi="Times New Roman"/>
          <w:b w:val="0"/>
          <w:i/>
          <w:sz w:val="24"/>
        </w:rPr>
        <w:t>— Данные отчётности общества берите из ресурса БФО ФНС; при недостаточности — ходатайствуйте об истребовании (ст. 66 АПК РФ) и о судебной экспертизе действительной стоимости доли.</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